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7 -->
  <w:body>
    <w:p w:rsidR="00FF267A" w:rsidRPr="0026008C" w:rsidP="00A560E4" w14:paraId="44B86D5B" w14:textId="1C37B80A">
      <w:pPr>
        <w:pStyle w:val="Heading1"/>
        <w:sectPr w:rsidSect="00B93CC2">
          <w:headerReference w:type="even" r:id="rId5"/>
          <w:headerReference w:type="default" r:id="rId6"/>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docGrid w:linePitch="360"/>
        </w:sectPr>
      </w:pPr>
      <w:bookmarkStart w:id="0" w:name="RG_MARKER_3907"/>
      <w:bookmarkStart w:id="1" w:name="RG_MARKER_3906"/>
      <w:r w:rsidRPr="00E12521">
        <w:t>HA</w:t>
      </w:r>
      <w:bookmarkEnd w:id="1"/>
      <w:bookmarkEnd w:id="0"/>
      <w:r w:rsidRPr="00E12521">
        <w:rPr>
          <w:rStyle w:val="IntenseQuoteChar"/>
          <w:b/>
          <w:bCs/>
        </w:rPr>
        <w:t>LLI</w:t>
      </w:r>
      <w:r w:rsidRPr="00E12521">
        <w:t>TUKSEN TOIMINTAKERTOMUS</w:t>
      </w:r>
    </w:p>
    <w:p w:rsidR="00F45DB3" w:rsidRPr="007573B9" w:rsidP="00F05B44" w14:paraId="44B86D5C" w14:textId="77777777">
      <w:pPr>
        <w:pStyle w:val="Heading2"/>
      </w:pPr>
      <w:r w:rsidRPr="007573B9">
        <w:t xml:space="preserve">LIIKETOIMINTAMALLI </w:t>
      </w:r>
    </w:p>
    <w:p w:rsidR="00324C4A" w:rsidRPr="00300011" w:rsidP="003E7096" w14:paraId="44B86D5D" w14:textId="630ED268">
      <w:pPr>
        <w:pStyle w:val="WNormal"/>
        <w:rPr>
          <w:szCs w:val="17"/>
        </w:rPr>
      </w:pPr>
      <w:r w:rsidRPr="00300011">
        <w:rPr>
          <w:szCs w:val="17"/>
        </w:rPr>
        <w:t>W</w:t>
      </w:r>
      <w:r w:rsidRPr="00300011">
        <w:rPr>
          <w:szCs w:val="17"/>
        </w:rPr>
        <w:t xml:space="preserve">ärtsilä toimittaa merenkulku- ja energiamarkkinoille älykkäitä </w:t>
      </w:r>
      <w:r w:rsidRPr="00300011" w:rsidR="00F45DB3">
        <w:rPr>
          <w:szCs w:val="17"/>
        </w:rPr>
        <w:t xml:space="preserve">teknologioita ja optimoituja elinkaaripalveluita. Energiateollisuudessa Wärtsilä tarjoaa joustavia voimalaitoksia sekä energian hallinta- ja varastointijärjestelmiä joko yksittäisasennuksina tai kokonaisratkaisuina. Merenkulkualan tarjonta käsittää voimantuotanto- ja </w:t>
      </w:r>
      <w:r w:rsidR="007573B9">
        <w:rPr>
          <w:szCs w:val="17"/>
        </w:rPr>
        <w:t>liikennöinti</w:t>
      </w:r>
      <w:r w:rsidRPr="00300011" w:rsidR="00F45DB3">
        <w:rPr>
          <w:szCs w:val="17"/>
        </w:rPr>
        <w:t>ratkaisut</w:t>
      </w:r>
      <w:r w:rsidR="007573B9">
        <w:rPr>
          <w:szCs w:val="17"/>
        </w:rPr>
        <w:t xml:space="preserve">, </w:t>
      </w:r>
      <w:r w:rsidRPr="007573B9" w:rsidR="007573B9">
        <w:rPr>
          <w:szCs w:val="17"/>
        </w:rPr>
        <w:t>pakokaasujen käsittelysovelluks</w:t>
      </w:r>
      <w:r w:rsidR="007573B9">
        <w:rPr>
          <w:szCs w:val="17"/>
        </w:rPr>
        <w:t>et sekä</w:t>
      </w:r>
      <w:r w:rsidRPr="007573B9" w:rsidR="007573B9">
        <w:rPr>
          <w:szCs w:val="17"/>
        </w:rPr>
        <w:t xml:space="preserve"> kaasu</w:t>
      </w:r>
      <w:r w:rsidR="007573B9">
        <w:rPr>
          <w:szCs w:val="17"/>
        </w:rPr>
        <w:t>-</w:t>
      </w:r>
      <w:r w:rsidRPr="007573B9" w:rsidR="007573B9">
        <w:rPr>
          <w:szCs w:val="17"/>
        </w:rPr>
        <w:t xml:space="preserve"> ja akseli</w:t>
      </w:r>
      <w:r w:rsidR="007573B9">
        <w:rPr>
          <w:szCs w:val="17"/>
        </w:rPr>
        <w:t>sto</w:t>
      </w:r>
      <w:r w:rsidRPr="007573B9" w:rsidR="007573B9">
        <w:rPr>
          <w:szCs w:val="17"/>
        </w:rPr>
        <w:t>ratkaisu</w:t>
      </w:r>
      <w:r w:rsidR="007573B9">
        <w:rPr>
          <w:szCs w:val="17"/>
        </w:rPr>
        <w:t>t</w:t>
      </w:r>
      <w:r w:rsidRPr="00300011" w:rsidR="00F45DB3">
        <w:rPr>
          <w:szCs w:val="17"/>
        </w:rPr>
        <w:t xml:space="preserve">. Wärtsilällä on </w:t>
      </w:r>
      <w:r w:rsidR="007573B9">
        <w:rPr>
          <w:szCs w:val="17"/>
        </w:rPr>
        <w:t xml:space="preserve">tarvittava </w:t>
      </w:r>
      <w:r w:rsidRPr="00300011" w:rsidR="00F45DB3">
        <w:rPr>
          <w:szCs w:val="17"/>
        </w:rPr>
        <w:t xml:space="preserve">kyky yhdistää merenkulkualan tuotteensa </w:t>
      </w:r>
      <w:r w:rsidR="007573B9">
        <w:rPr>
          <w:szCs w:val="17"/>
        </w:rPr>
        <w:t>laajemmiksi</w:t>
      </w:r>
      <w:r w:rsidRPr="00300011" w:rsidR="00F45DB3">
        <w:rPr>
          <w:szCs w:val="17"/>
        </w:rPr>
        <w:t xml:space="preserve"> järjestelmiksi ja ratkaisuiksi. Wärtsilän palveluvalikoima kattaa kaiken varaosista ja teknisestä osaamisesta elinkaariratkaisuihin, jotka varmistavat asiakkaiden laitosten maksimaalisen elinkaaren</w:t>
      </w:r>
      <w:r>
        <w:rPr>
          <w:szCs w:val="17"/>
        </w:rPr>
        <w:t xml:space="preserve"> ja</w:t>
      </w:r>
      <w:r w:rsidRPr="00300011" w:rsidR="00F45DB3">
        <w:rPr>
          <w:szCs w:val="17"/>
        </w:rPr>
        <w:t xml:space="preserve"> paremman hyötysuhteen </w:t>
      </w:r>
      <w:r>
        <w:rPr>
          <w:szCs w:val="17"/>
        </w:rPr>
        <w:t>sekä</w:t>
      </w:r>
      <w:r w:rsidRPr="00300011" w:rsidR="00F45DB3">
        <w:rPr>
          <w:szCs w:val="17"/>
        </w:rPr>
        <w:t xml:space="preserve"> ta</w:t>
      </w:r>
      <w:r>
        <w:rPr>
          <w:szCs w:val="17"/>
        </w:rPr>
        <w:t>kaavat</w:t>
      </w:r>
      <w:r w:rsidRPr="00300011" w:rsidR="00F45DB3">
        <w:rPr>
          <w:szCs w:val="17"/>
        </w:rPr>
        <w:t xml:space="preserve"> suorituskyvyn. Yhtiö pyrkii maksimoimaan ympäristö</w:t>
      </w:r>
      <w:r>
        <w:rPr>
          <w:szCs w:val="17"/>
        </w:rPr>
        <w:t>tehokkuuden</w:t>
      </w:r>
      <w:r w:rsidRPr="00300011" w:rsidR="00F45DB3">
        <w:rPr>
          <w:szCs w:val="17"/>
        </w:rPr>
        <w:t xml:space="preserve"> ja taloudellisen</w:t>
      </w:r>
      <w:r>
        <w:rPr>
          <w:szCs w:val="17"/>
        </w:rPr>
        <w:t xml:space="preserve"> suorituskyvyn</w:t>
      </w:r>
      <w:r w:rsidRPr="00300011" w:rsidR="00F45DB3">
        <w:rPr>
          <w:szCs w:val="17"/>
        </w:rPr>
        <w:t xml:space="preserve"> painottamalla kestävän kehityksen mukaisia, datalähtöisiä innovaatioita ja kokonaishyötysuhdetta. </w:t>
      </w:r>
    </w:p>
    <w:p w:rsidR="003B2B33" w:rsidRPr="005341DE" w:rsidP="005341DE" w14:paraId="6A27CA75" w14:textId="60B161EA">
      <w:pPr>
        <w:pStyle w:val="WNormal"/>
        <w:rPr>
          <w:szCs w:val="17"/>
        </w:rPr>
      </w:pPr>
      <w:r w:rsidRPr="00300011">
        <w:rPr>
          <w:szCs w:val="17"/>
        </w:rPr>
        <w:t>Wärtsilän 2</w:t>
      </w:r>
      <w:r>
        <w:rPr>
          <w:szCs w:val="17"/>
        </w:rPr>
        <w:t>58</w:t>
      </w:r>
      <w:r w:rsidRPr="00300011">
        <w:rPr>
          <w:szCs w:val="17"/>
        </w:rPr>
        <w:t xml:space="preserve"> toimipistettä </w:t>
      </w:r>
      <w:r>
        <w:rPr>
          <w:szCs w:val="17"/>
        </w:rPr>
        <w:t>73</w:t>
      </w:r>
      <w:r w:rsidRPr="00300011">
        <w:rPr>
          <w:szCs w:val="17"/>
        </w:rPr>
        <w:t xml:space="preserve"> maassa käsittävä verkosto tarjoaa paikallisen tuen koko maailmanlaajuiselle asiakaskunnalle. Wärtsilä toimii ensisijaisesti tytäryhtiöiden ja strategisten yhteisyritysten kautta. Yhtiön tuotantomalli perustuu kokoonpanoon, joten pitkäjänteiset suhteet maa</w:t>
      </w:r>
      <w:r w:rsidRPr="00300011">
        <w:rPr>
          <w:szCs w:val="17"/>
        </w:rPr>
        <w:t xml:space="preserve">ilmanlaajuiseen toimittajaverkostoon ovat erittäin tärkeitä. Wärtsilällä on noin </w:t>
      </w:r>
      <w:r w:rsidRPr="00E25B67">
        <w:rPr>
          <w:szCs w:val="17"/>
        </w:rPr>
        <w:t>1 200</w:t>
      </w:r>
      <w:r w:rsidRPr="00300011">
        <w:rPr>
          <w:szCs w:val="17"/>
        </w:rPr>
        <w:t xml:space="preserve"> suoraa maailmanlaajuista toimittajaa. Wärtsilän henkilöstöön kuuluu </w:t>
      </w:r>
      <w:r>
        <w:rPr>
          <w:szCs w:val="17"/>
        </w:rPr>
        <w:t>noin</w:t>
      </w:r>
      <w:r w:rsidRPr="00300011">
        <w:rPr>
          <w:szCs w:val="17"/>
        </w:rPr>
        <w:t xml:space="preserve"> 1</w:t>
      </w:r>
      <w:r>
        <w:rPr>
          <w:szCs w:val="17"/>
        </w:rPr>
        <w:t xml:space="preserve">8 </w:t>
      </w:r>
      <w:r w:rsidRPr="00300011">
        <w:rPr>
          <w:szCs w:val="17"/>
        </w:rPr>
        <w:t>000 työntekijää, jotka edustavat 1</w:t>
      </w:r>
      <w:r>
        <w:rPr>
          <w:szCs w:val="17"/>
        </w:rPr>
        <w:t>39</w:t>
      </w:r>
      <w:r w:rsidRPr="00300011">
        <w:rPr>
          <w:szCs w:val="17"/>
        </w:rPr>
        <w:t xml:space="preserve"> kansallisuutta. Rekrytoimalla ja pitämällä yhtiössä parha</w:t>
      </w:r>
      <w:r w:rsidRPr="00300011">
        <w:rPr>
          <w:szCs w:val="17"/>
        </w:rPr>
        <w:t>at mahdolliset osaajat Wärtsilällä on edellytykset olla ensisijainen yhteistyökumppani asiakkaille sekä kiinnostava työnantaja nykyisille ja uusille työntekijöille. Wärtsilä on sitoutunut harjoittamaan liiketoimintaansa vastuullisesti ja edistää vastuullis</w:t>
      </w:r>
      <w:r w:rsidRPr="00300011">
        <w:rPr>
          <w:szCs w:val="17"/>
        </w:rPr>
        <w:t>ia käytäntöjä arvoketjunsa kaikissa vaiheissa.</w:t>
      </w:r>
    </w:p>
    <w:p w:rsidR="00505394" w:rsidRPr="006E6FA2" w:rsidP="00B3422D" w14:paraId="40C43F63" w14:textId="77777777">
      <w:pPr>
        <w:pStyle w:val="WHeadingException2"/>
        <w:rPr>
          <w:lang w:val="fi-FI"/>
        </w:rPr>
      </w:pPr>
      <w:bookmarkStart w:id="2" w:name="RG_MARKER_5356"/>
      <w:r>
        <w:rPr>
          <w:lang w:val="fi-FI"/>
        </w:rPr>
        <w:t>KONSERNI</w:t>
      </w:r>
      <w:bookmarkEnd w:id="2"/>
      <w:r w:rsidRPr="006E6FA2">
        <w:rPr>
          <w:lang w:val="fi-FI"/>
        </w:rPr>
        <w:t>JOHTAJAN NIMITYS</w:t>
      </w:r>
    </w:p>
    <w:p w:rsidR="006E6FA2" w:rsidP="00063888" w14:paraId="43C08D8F" w14:textId="53443192">
      <w:pPr>
        <w:pStyle w:val="Wnormal0"/>
        <w:rPr>
          <w:lang w:val="fi-FI"/>
        </w:rPr>
      </w:pPr>
      <w:r w:rsidRPr="006E6FA2">
        <w:rPr>
          <w:lang w:val="fi-FI"/>
        </w:rPr>
        <w:t>Syyskuussa Håkan Agnevall (s. 1966, DI, MBA) nimitettiin Wärtsilä Oyj Abp:n</w:t>
      </w:r>
      <w:r w:rsidRPr="006E6FA2">
        <w:rPr>
          <w:lang w:val="fi-FI"/>
        </w:rPr>
        <w:t xml:space="preserve"> uudeksi konsernijohtajaksi. Agnevall aloitt</w:t>
      </w:r>
      <w:r>
        <w:rPr>
          <w:lang w:val="fi-FI"/>
        </w:rPr>
        <w:t>i</w:t>
      </w:r>
      <w:r w:rsidRPr="006E6FA2">
        <w:rPr>
          <w:lang w:val="fi-FI"/>
        </w:rPr>
        <w:t xml:space="preserve"> tehtävässä 1.2.2021. Hänen edeltäjänsä Jaakko Eskola jatkaa hallituksen ja johtokunnan neuvonantajana kunnes jää eläkkeelle 30.6.2021.</w:t>
      </w:r>
    </w:p>
    <w:p w:rsidR="00063888" w:rsidRPr="006E6FA2" w:rsidP="006E6FA2" w14:paraId="4D03838F" w14:textId="77777777">
      <w:pPr>
        <w:pStyle w:val="Wnormal0"/>
        <w:rPr>
          <w:lang w:val="fi-FI"/>
        </w:rPr>
      </w:pPr>
      <w:r>
        <w:rPr>
          <w:lang w:val="fi-FI"/>
        </w:rPr>
        <w:t xml:space="preserve">Agnevall </w:t>
      </w:r>
      <w:r w:rsidRPr="006E6FA2">
        <w:rPr>
          <w:lang w:val="fi-FI"/>
        </w:rPr>
        <w:t>on osoittanut kykynsä kehittää organisaatioita ja liiketoimintoja</w:t>
      </w:r>
      <w:r w:rsidRPr="006E6FA2">
        <w:rPr>
          <w:lang w:val="fi-FI"/>
        </w:rPr>
        <w:t xml:space="preserve"> keskittyen vahvasti asiakkaisiin, teknologiaan ja ihmisiin. Hänen kokemuksensa uraauurtavasta sähköistyksestä ja autonomis</w:t>
      </w:r>
      <w:r>
        <w:rPr>
          <w:lang w:val="fi-FI"/>
        </w:rPr>
        <w:t>e</w:t>
      </w:r>
      <w:r w:rsidRPr="006E6FA2">
        <w:rPr>
          <w:lang w:val="fi-FI"/>
        </w:rPr>
        <w:t xml:space="preserve">sta </w:t>
      </w:r>
      <w:r>
        <w:rPr>
          <w:lang w:val="fi-FI"/>
        </w:rPr>
        <w:t xml:space="preserve">liikenteestä </w:t>
      </w:r>
      <w:r w:rsidRPr="006E6FA2">
        <w:rPr>
          <w:lang w:val="fi-FI"/>
        </w:rPr>
        <w:t xml:space="preserve">vahvistaa </w:t>
      </w:r>
      <w:r>
        <w:rPr>
          <w:lang w:val="fi-FI"/>
        </w:rPr>
        <w:t xml:space="preserve">Wärtsilän </w:t>
      </w:r>
      <w:r w:rsidRPr="006E6FA2">
        <w:rPr>
          <w:lang w:val="fi-FI"/>
        </w:rPr>
        <w:t>toimintaa vastaavilla osa-alueilla</w:t>
      </w:r>
      <w:r>
        <w:rPr>
          <w:lang w:val="fi-FI"/>
        </w:rPr>
        <w:t>.</w:t>
      </w:r>
    </w:p>
    <w:p w:rsidR="00C612D3" w:rsidRPr="00CA2C7E" w:rsidP="00CA2C7E">
      <w:pPr>
        <w:pStyle w:val="WHeading20"/>
        <w:rPr>
          <w:lang w:val="en-GB"/>
        </w:rPr>
      </w:pPr>
      <w:bookmarkStart w:id="3" w:name="RG_MARKER_3908"/>
      <w:r w:rsidRPr="00CA2C7E">
        <w:rPr>
          <w:lang w:val="en-GB"/>
        </w:rPr>
        <w:t xml:space="preserve">STRATEGIA </w:t>
      </w:r>
      <w:bookmarkEnd w:id="3"/>
    </w:p>
    <w:p w:rsidR="006C4727" w:rsidRPr="00FD6922" w:rsidP="007D3EB3">
      <w:pPr>
        <w:pStyle w:val="WHeadingException1"/>
        <w:rPr>
          <w:lang w:val="en-GB"/>
        </w:rPr>
      </w:pPr>
      <w:r w:rsidRPr="00FD6922">
        <w:rPr>
          <w:lang w:val="en-GB"/>
        </w:rPr>
        <w:t xml:space="preserve">Strategian toteutus vuonna </w:t>
      </w:r>
      <w:r w:rsidRPr="00FD6922">
        <w:rPr>
          <w:lang w:val="en-GB"/>
        </w:rPr>
        <w:t>2020</w:t>
      </w:r>
    </w:p>
    <w:p w:rsidR="007D3EB3" w:rsidP="007D3EB3">
      <w:pPr>
        <w:pStyle w:val="WNormal"/>
      </w:pPr>
      <w:r>
        <w:t>Liiketoimintaan kohdistuneista koronavirukseen liittyvistä häiriöistä huolimatta Wärtsilän sitoutuminen</w:t>
      </w:r>
      <w:r>
        <w:t xml:space="preserve"> tutkimus- ja kehitystoimintaan on pysynyt muuttumattomana. Vuoden aikana </w:t>
      </w:r>
      <w:r w:rsidR="004504B8">
        <w:t>otettiin</w:t>
      </w:r>
      <w:r>
        <w:t xml:space="preserve"> edistysaskeleita moottoriteknologian kestävyyden varmistamisessa pitkälle tulevaisuuteen maailmanlaajuis</w:t>
      </w:r>
      <w:r w:rsidR="00B15263">
        <w:t>en</w:t>
      </w:r>
      <w:r>
        <w:t xml:space="preserve"> hiilineutraaleihin energia- ja merenkulkumarkkinoihin tähtäävä</w:t>
      </w:r>
      <w:r w:rsidR="00B15263">
        <w:t>n</w:t>
      </w:r>
      <w:r>
        <w:t xml:space="preserve"> su</w:t>
      </w:r>
      <w:r>
        <w:t>untau</w:t>
      </w:r>
      <w:r w:rsidR="00B15263">
        <w:t>ksen mukaisesti</w:t>
      </w:r>
      <w:r>
        <w:t xml:space="preserve">. </w:t>
      </w:r>
      <w:r w:rsidR="00B15263">
        <w:t>K</w:t>
      </w:r>
      <w:r>
        <w:t xml:space="preserve">äytännön </w:t>
      </w:r>
      <w:r w:rsidR="004504B8">
        <w:t>toimenpi</w:t>
      </w:r>
      <w:r w:rsidR="00B15263">
        <w:t>teitä</w:t>
      </w:r>
      <w:r>
        <w:t xml:space="preserve"> oli</w:t>
      </w:r>
      <w:r w:rsidR="00B15263">
        <w:t>vat esimerkiksi</w:t>
      </w:r>
      <w:r>
        <w:t xml:space="preserve"> ammoniakin polttoainekäytön täysimittaisen testauksen käynnistäminen Wärtsilän nelitahtisilla polttomoottoreilla</w:t>
      </w:r>
      <w:r w:rsidR="00B15263">
        <w:t xml:space="preserve"> sekä</w:t>
      </w:r>
      <w:r>
        <w:t xml:space="preserve"> </w:t>
      </w:r>
      <w:r w:rsidR="00B15263">
        <w:t>ilmoitus kaasumoottoreiden polttoprosessi</w:t>
      </w:r>
      <w:r w:rsidR="00DE6975">
        <w:t>n</w:t>
      </w:r>
      <w:r w:rsidR="00B15263">
        <w:t xml:space="preserve"> kehittämisestä siten, että ne voisivat ajan myötä käyttää sataprosenttista vetypolttoainetta</w:t>
      </w:r>
      <w:r>
        <w:t>. Markkinoille esiteltiin myös useita uusia konsepteja, jotka parantavat asiakkaiden toimintojen tehokkuutta, vastuullisuutta ja turvallisuutta tiedonsiir</w:t>
      </w:r>
      <w:r w:rsidR="00B15263">
        <w:t>ron</w:t>
      </w:r>
      <w:r>
        <w:t xml:space="preserve"> ja digitalisaation avulla. </w:t>
      </w:r>
      <w:r w:rsidR="00F60925">
        <w:t>Nämä sisälsivät</w:t>
      </w:r>
      <w:r w:rsidRPr="00F60925" w:rsidR="00F60925">
        <w:t xml:space="preserve"> </w:t>
      </w:r>
      <w:r>
        <w:t>älykkää</w:t>
      </w:r>
      <w:r w:rsidR="00F60925">
        <w:t>n</w:t>
      </w:r>
      <w:r>
        <w:t xml:space="preserve"> navigoin</w:t>
      </w:r>
      <w:r w:rsidR="00DE6975">
        <w:t>ni</w:t>
      </w:r>
      <w:r w:rsidR="00F60925">
        <w:t>n</w:t>
      </w:r>
      <w:r w:rsidRPr="00DE6975" w:rsidR="00DE6975">
        <w:t xml:space="preserve"> </w:t>
      </w:r>
      <w:r w:rsidR="00DE6975">
        <w:t>ratkaisuja</w:t>
      </w:r>
      <w:r w:rsidR="00F60925">
        <w:t>,</w:t>
      </w:r>
      <w:r>
        <w:t xml:space="preserve"> etätukipalvelui</w:t>
      </w:r>
      <w:r w:rsidR="00F60925">
        <w:t>ta</w:t>
      </w:r>
      <w:r>
        <w:t xml:space="preserve"> </w:t>
      </w:r>
      <w:r w:rsidR="00F60925">
        <w:t xml:space="preserve">sekä </w:t>
      </w:r>
      <w:r>
        <w:t xml:space="preserve">etäkoulutusta tukevan pilvipohjaisen simulaatioalustan. Energiamarkkinoille </w:t>
      </w:r>
      <w:r w:rsidR="00B15263">
        <w:t>Wärtsilä lanseerasi</w:t>
      </w:r>
      <w:r>
        <w:t xml:space="preserve"> Energy Transition Lab</w:t>
      </w:r>
      <w:r w:rsidR="00B15263">
        <w:t>in</w:t>
      </w:r>
      <w:r>
        <w:t xml:space="preserve"> </w:t>
      </w:r>
      <w:r w:rsidR="00F60925">
        <w:t>eli avoimen data-alustan, joka auttaa energia-alaa ymmärtämään sekä uusiutuvan energian kasvavan käytön että koronaviruspandemian vaikutuksia ja nopeuttamaan energiamurrosta</w:t>
      </w:r>
      <w:r>
        <w:t>.</w:t>
      </w:r>
    </w:p>
    <w:p w:rsidR="007D3EB3" w:rsidP="007D3EB3">
      <w:pPr>
        <w:pStyle w:val="WNormal"/>
      </w:pPr>
      <w:r>
        <w:t xml:space="preserve">Smart Marine- ja Smart Energy -strategioidensa mukaisesti </w:t>
      </w:r>
      <w:r w:rsidR="005726C5">
        <w:t xml:space="preserve">Wärtsilä korostaa </w:t>
      </w:r>
      <w:r>
        <w:t>kehity</w:t>
      </w:r>
      <w:r w:rsidR="005726C5">
        <w:t>styö</w:t>
      </w:r>
      <w:r>
        <w:t>ssään uusimman teknologian hyödyntämistä</w:t>
      </w:r>
      <w:r w:rsidR="00DE6975">
        <w:t>, mikä</w:t>
      </w:r>
      <w:r>
        <w:t xml:space="preserve"> johti useisiin merkit</w:t>
      </w:r>
      <w:r>
        <w:t>täviin tilauksiin</w:t>
      </w:r>
      <w:r w:rsidRPr="005726C5" w:rsidR="005726C5">
        <w:t xml:space="preserve"> </w:t>
      </w:r>
      <w:r w:rsidR="005726C5">
        <w:t>vuoden aikana</w:t>
      </w:r>
      <w:r>
        <w:t xml:space="preserve">. </w:t>
      </w:r>
      <w:r w:rsidR="00DE6975">
        <w:t>Merenkulkumarkkinoilta</w:t>
      </w:r>
      <w:r>
        <w:t xml:space="preserve"> saatiin useita hybridiratkaisujen tilauksia. Yksi näistä oli täysin integroidun Wärtsilän hybridiratkaisun toimitus Misje Rederin kolmeen uuteen ympäristö</w:t>
      </w:r>
      <w:r w:rsidR="00DE6975">
        <w:t>tehokkaaseen</w:t>
      </w:r>
      <w:r w:rsidRPr="00DE6975" w:rsidR="00DE6975">
        <w:t xml:space="preserve"> </w:t>
      </w:r>
      <w:r w:rsidR="00DE6975">
        <w:t>5 000 DWT:n</w:t>
      </w:r>
      <w:r>
        <w:t xml:space="preserve"> irtolastialukseen. Ul</w:t>
      </w:r>
      <w:r>
        <w:t>traShip Denmark puolestaan tilasi kaikkiin aluksiinsa pilvipohjaisen Wärtsilä Fleet Operations Solution (FOS) -</w:t>
      </w:r>
      <w:r w:rsidR="00DE6975">
        <w:t>ratkaisun</w:t>
      </w:r>
      <w:r>
        <w:t xml:space="preserve">, mikä </w:t>
      </w:r>
      <w:r w:rsidR="00C1007F">
        <w:t>on esimerkki</w:t>
      </w:r>
      <w:r>
        <w:t xml:space="preserve"> markkinoiden kasvava</w:t>
      </w:r>
      <w:r w:rsidR="00C1007F">
        <w:t>sta</w:t>
      </w:r>
      <w:r>
        <w:t xml:space="preserve"> kiinnostu</w:t>
      </w:r>
      <w:r w:rsidR="00DE6975">
        <w:t>kse</w:t>
      </w:r>
      <w:r w:rsidR="00C1007F">
        <w:t>sta</w:t>
      </w:r>
      <w:r>
        <w:t xml:space="preserve"> alusten hyötysuhdetta parantavia ja ympäristövaikutuksia vähentäviä digitaalisia ratkaisuja kohtaan. Energiasektori</w:t>
      </w:r>
      <w:r w:rsidR="00C1007F">
        <w:t>lla</w:t>
      </w:r>
      <w:r>
        <w:t xml:space="preserve"> tarve uusiutuvan energian käytön lisäämis</w:t>
      </w:r>
      <w:r w:rsidR="00C1007F">
        <w:t>tä</w:t>
      </w:r>
      <w:r>
        <w:t xml:space="preserve"> ja </w:t>
      </w:r>
      <w:r w:rsidR="007A43E8">
        <w:t>sähkö</w:t>
      </w:r>
      <w:r>
        <w:t>verkon luotettavuu</w:t>
      </w:r>
      <w:r w:rsidR="00C1007F">
        <w:t xml:space="preserve">tta tukeville joustaville </w:t>
      </w:r>
      <w:r w:rsidR="00C1007F">
        <w:t>ratkaisuille</w:t>
      </w:r>
      <w:r>
        <w:t xml:space="preserve"> näkyi energian varastointir</w:t>
      </w:r>
      <w:r>
        <w:t>atkaisujen kysyn</w:t>
      </w:r>
      <w:r w:rsidR="00C1007F">
        <w:t>nän säilymisenä hyvällä tasolla</w:t>
      </w:r>
      <w:r>
        <w:t xml:space="preserve">. </w:t>
      </w:r>
      <w:r w:rsidR="00C1007F">
        <w:t>Saatuihin tilauksiin sisältyi</w:t>
      </w:r>
      <w:r>
        <w:t xml:space="preserve"> ensimmäi</w:t>
      </w:r>
      <w:r w:rsidR="00C1007F">
        <w:t>s</w:t>
      </w:r>
      <w:r>
        <w:t xml:space="preserve">en GridSolv Quantum </w:t>
      </w:r>
      <w:r w:rsidR="00C1007F">
        <w:t>-</w:t>
      </w:r>
      <w:r>
        <w:t>energianvarastointijärjestelmä</w:t>
      </w:r>
      <w:r w:rsidR="00C1007F">
        <w:t>n toimitus</w:t>
      </w:r>
      <w:r>
        <w:t xml:space="preserve">. Kyseessä on täysin integroitu, modulaarinen ja kompakti ratkaisu, </w:t>
      </w:r>
      <w:r w:rsidR="00C1007F">
        <w:t xml:space="preserve">joka </w:t>
      </w:r>
      <w:r w:rsidRPr="00C1007F" w:rsidR="00C1007F">
        <w:t>mahdollistaa kustannustehokkaan energian varastoinnin nopean käyttöönoton</w:t>
      </w:r>
      <w:r>
        <w:t>. Toinen joustavuu</w:t>
      </w:r>
      <w:r w:rsidR="00C1007F">
        <w:t>den etuja</w:t>
      </w:r>
      <w:r>
        <w:t xml:space="preserve"> heijastava tilaus käsitti neljä Eurooppaan </w:t>
      </w:r>
      <w:r w:rsidR="007A43E8">
        <w:t>toimitettavaa</w:t>
      </w:r>
      <w:r>
        <w:t xml:space="preserve"> maakaasuvoimalaa, joiden yhteisteho on lähes 300 megawattia. Uudet, nopeasti käynnistyvät voimalat tarjoavat </w:t>
      </w:r>
      <w:r w:rsidR="007A43E8">
        <w:t>joustava</w:t>
      </w:r>
      <w:r>
        <w:t xml:space="preserve">a säätövoimaa, </w:t>
      </w:r>
      <w:r w:rsidR="007A43E8">
        <w:t xml:space="preserve">kun </w:t>
      </w:r>
      <w:r>
        <w:t>sähköjärjestelmään lisät</w:t>
      </w:r>
      <w:r w:rsidR="007A43E8">
        <w:t>ään</w:t>
      </w:r>
      <w:r>
        <w:t xml:space="preserve"> uusiutuvaa energiaa.</w:t>
      </w:r>
    </w:p>
    <w:p w:rsidR="007D3EB3" w:rsidRPr="00046616" w:rsidP="007D3EB3">
      <w:pPr>
        <w:pStyle w:val="WNormal"/>
      </w:pPr>
      <w:r>
        <w:t>Yhteistyö sidosryhmien kanssa on olennaisen tärkeää kehitettäessä markkinoiden muuttuvi</w:t>
      </w:r>
      <w:r w:rsidR="00046616">
        <w:t>i</w:t>
      </w:r>
      <w:r>
        <w:t>n vaatimu</w:t>
      </w:r>
      <w:r w:rsidR="00046616">
        <w:t>ksiin vastaavia teknologioita</w:t>
      </w:r>
      <w:r>
        <w:t xml:space="preserve">. </w:t>
      </w:r>
      <w:r w:rsidR="00046616">
        <w:t>Yhteis</w:t>
      </w:r>
      <w:r>
        <w:t xml:space="preserve">hankkeisiin sisältyi </w:t>
      </w:r>
      <w:r w:rsidR="00046616">
        <w:t xml:space="preserve">sopimuksia, jotka pyrkivät vauhdittamaan </w:t>
      </w:r>
      <w:r>
        <w:t>meriteo</w:t>
      </w:r>
      <w:r>
        <w:t xml:space="preserve">llisuuden </w:t>
      </w:r>
      <w:r w:rsidR="00046616">
        <w:t xml:space="preserve">käynnissä olevaa </w:t>
      </w:r>
      <w:r>
        <w:t>digitalisaatiota,</w:t>
      </w:r>
      <w:r w:rsidR="00046616">
        <w:t xml:space="preserve"> kehittämään</w:t>
      </w:r>
      <w:r>
        <w:t xml:space="preserve"> autonomis</w:t>
      </w:r>
      <w:r w:rsidR="00046616">
        <w:t>ta</w:t>
      </w:r>
      <w:r>
        <w:t xml:space="preserve"> merenkul</w:t>
      </w:r>
      <w:r w:rsidR="00046616">
        <w:t xml:space="preserve">kua </w:t>
      </w:r>
      <w:r>
        <w:t xml:space="preserve">sekä </w:t>
      </w:r>
      <w:r w:rsidR="00046616">
        <w:t xml:space="preserve">tutkimaan </w:t>
      </w:r>
      <w:r>
        <w:t xml:space="preserve">uusien teknologioiden ja vaihtoehtoisten polttoaineiden </w:t>
      </w:r>
      <w:r w:rsidR="00046616">
        <w:t>käyttöä</w:t>
      </w:r>
      <w:r>
        <w:t xml:space="preserve"> </w:t>
      </w:r>
      <w:r w:rsidR="00046616">
        <w:t>hiilineutraaliuden edistämiseksi</w:t>
      </w:r>
      <w:r>
        <w:t>.</w:t>
      </w:r>
    </w:p>
    <w:p w:rsidR="006C4727" w:rsidP="007D3EB3">
      <w:pPr>
        <w:pStyle w:val="WNormal"/>
      </w:pPr>
      <w:r>
        <w:t xml:space="preserve">Henkilöstön terveys ja turvallisuus on Wärtsilälle </w:t>
      </w:r>
      <w:r w:rsidR="00046616">
        <w:t>aina erittäin tärkeää</w:t>
      </w:r>
      <w:r>
        <w:t>. Vuonna 2020 teema korostui entisestään maailmanlaajuisen koronapandemian myötä. Wärtsilän monimuotoiseen, globaaliin henkilöstöön kuuluu tuhansia ihmisiä, jotka työskentelevät kent</w:t>
      </w:r>
      <w:r w:rsidR="00257AC0">
        <w:t>ällä</w:t>
      </w:r>
      <w:r>
        <w:t xml:space="preserve"> </w:t>
      </w:r>
      <w:r w:rsidR="00257AC0">
        <w:t>tai</w:t>
      </w:r>
      <w:r>
        <w:t xml:space="preserve"> asiakkaiden tiloissa. Nopeasti kehittyvää tilannetta se</w:t>
      </w:r>
      <w:r>
        <w:t>uraamaan ja tarvittavista toimenpiteistä päättämään perustettiin globaali kriisiryhmä sekä maakohtaisia johtoryhmiä. Välttämät</w:t>
      </w:r>
      <w:r w:rsidR="00257AC0">
        <w:t>ön</w:t>
      </w:r>
      <w:r>
        <w:t xml:space="preserve"> matkustus turvattiin noudattaen asianmukaisia turvallisuus- ja varotoimenpiteitä. Lukuisat Wärtsilän työntekijät siirtyivät etä</w:t>
      </w:r>
      <w:r>
        <w:t xml:space="preserve">työhön. </w:t>
      </w:r>
      <w:r w:rsidR="00257AC0">
        <w:t>U</w:t>
      </w:r>
      <w:r>
        <w:t>udenlaisen työ</w:t>
      </w:r>
      <w:r w:rsidR="00257AC0">
        <w:t>skentely</w:t>
      </w:r>
      <w:r>
        <w:t xml:space="preserve">tavan mahdollistamiseksi ja käytännön muutosten </w:t>
      </w:r>
      <w:r w:rsidR="00257AC0">
        <w:t xml:space="preserve">sujuvuuden </w:t>
      </w:r>
      <w:r>
        <w:t>varmistamiseksi</w:t>
      </w:r>
      <w:r w:rsidRPr="00257AC0" w:rsidR="00257AC0">
        <w:t xml:space="preserve"> </w:t>
      </w:r>
      <w:r w:rsidR="00257AC0">
        <w:t>Wärtsilä tarjosi</w:t>
      </w:r>
      <w:r>
        <w:t xml:space="preserve"> työntekijöi</w:t>
      </w:r>
      <w:r w:rsidR="00257AC0">
        <w:t>lle</w:t>
      </w:r>
      <w:r>
        <w:t xml:space="preserve"> digitaalisia yhteistyövälineitä ja -menetelmiä. Lisäksi henkilöstö</w:t>
      </w:r>
      <w:r w:rsidR="00257AC0">
        <w:t>lle tarjottiin</w:t>
      </w:r>
      <w:r>
        <w:t xml:space="preserve"> ohjeist</w:t>
      </w:r>
      <w:r w:rsidR="00257AC0">
        <w:t>usta</w:t>
      </w:r>
      <w:r>
        <w:t xml:space="preserve"> ja </w:t>
      </w:r>
      <w:r w:rsidR="00257AC0">
        <w:t xml:space="preserve">välineitä </w:t>
      </w:r>
      <w:r>
        <w:t xml:space="preserve">asianmukaisen etätyöympäristön </w:t>
      </w:r>
      <w:r w:rsidR="00257AC0">
        <w:t>järjestämiseksi</w:t>
      </w:r>
      <w:r>
        <w:t xml:space="preserve">. Yhtiön tavoitteena on </w:t>
      </w:r>
      <w:r w:rsidR="00257AC0">
        <w:t xml:space="preserve">yhä </w:t>
      </w:r>
      <w:r>
        <w:t>poissaoloon johtavien työtapaturmien nollataso</w:t>
      </w:r>
      <w:r w:rsidR="00257AC0">
        <w:t xml:space="preserve"> maailmanlaajuisesti</w:t>
      </w:r>
      <w:r>
        <w:t xml:space="preserve">. Vuonna 2020 </w:t>
      </w:r>
      <w:r>
        <w:t>poissaoloon johtaneiden tapaturmien taajuus</w:t>
      </w:r>
      <w:r w:rsidR="00646799">
        <w:t>indeksi</w:t>
      </w:r>
      <w:r>
        <w:t xml:space="preserve"> oli </w:t>
      </w:r>
      <w:r w:rsidR="00E2177D">
        <w:t>2,03</w:t>
      </w:r>
      <w:r>
        <w:t xml:space="preserve"> (2,25)</w:t>
      </w:r>
      <w:r w:rsidR="00646799">
        <w:t xml:space="preserve"> eli</w:t>
      </w:r>
      <w:r>
        <w:t xml:space="preserve"> 1</w:t>
      </w:r>
      <w:r w:rsidR="00E2177D">
        <w:t>0</w:t>
      </w:r>
      <w:r>
        <w:t>% alhaisempi kuin edellisvuon</w:t>
      </w:r>
      <w:r>
        <w:t>na.</w:t>
      </w:r>
    </w:p>
    <w:p w:rsidR="003B2132" w:rsidP="00F01220">
      <w:pPr>
        <w:pStyle w:val="WHeadingException3"/>
      </w:pPr>
    </w:p>
    <w:p w:rsidR="006C4727" w:rsidRPr="007745F9" w:rsidP="006D0E1A">
      <w:pPr>
        <w:pStyle w:val="WHeading3"/>
      </w:pPr>
      <w:r w:rsidRPr="007745F9">
        <w:t xml:space="preserve">Taloudelliset tavoitteet ja toteuma vuonna </w:t>
      </w:r>
      <w:r>
        <w:t>2020</w:t>
      </w:r>
    </w:p>
    <w:p w:rsidR="00D60C2E" w:rsidP="00751B31">
      <w:pPr>
        <w:pStyle w:val="WNormal"/>
      </w:pPr>
      <w:r w:rsidRPr="00DF1FE7">
        <w:t xml:space="preserve">Wärtsilän pitkän aikavälin tavoitteena on kasvaa nopeammin </w:t>
      </w:r>
      <w:r w:rsidRPr="00403A4D">
        <w:t>kuin maailmanlaajuinen BKT sekä pitää liikevoittomarginaali 14%:n (korkeasuhdanne) ja 10%:n (matalasuhdanne) välillä. Lisäksi tavoi</w:t>
      </w:r>
      <w:r w:rsidRPr="00403A4D">
        <w:t xml:space="preserve">tteena on pitää nettovelkaantumisaste alle 0,50:ssä ja jakaa osinkona vähintään 50% osakekohtaisesta tuloksesta yli suhdannesyklin. </w:t>
      </w:r>
    </w:p>
    <w:p w:rsidR="008A6C91" w:rsidP="008E218F">
      <w:pPr>
        <w:pStyle w:val="WNormal"/>
      </w:pPr>
      <w:r w:rsidRPr="00403A4D">
        <w:t>Wärtsilän</w:t>
      </w:r>
      <w:r>
        <w:t xml:space="preserve"> taloudellinen</w:t>
      </w:r>
      <w:r w:rsidRPr="00403A4D">
        <w:t xml:space="preserve"> </w:t>
      </w:r>
      <w:r>
        <w:t>tulos</w:t>
      </w:r>
      <w:r w:rsidRPr="00403A4D">
        <w:t xml:space="preserve"> vuonna </w:t>
      </w:r>
      <w:r>
        <w:t>2020</w:t>
      </w:r>
      <w:r>
        <w:t xml:space="preserve"> </w:t>
      </w:r>
      <w:r w:rsidRPr="00403A4D">
        <w:t xml:space="preserve">oli </w:t>
      </w:r>
      <w:r w:rsidRPr="001F30AF">
        <w:t>pitkän aikavälin tavoitetta alhaisempi johtuen koronaviruspandem</w:t>
      </w:r>
      <w:r w:rsidRPr="001F30AF">
        <w:t>ian vaikutuksista yhtiön kysyntäympäristöön ja liiketoimintaan</w:t>
      </w:r>
      <w:r>
        <w:t xml:space="preserve">. </w:t>
      </w:r>
      <w:r w:rsidRPr="003858D7">
        <w:t xml:space="preserve">Liikevaihto laski </w:t>
      </w:r>
      <w:r w:rsidRPr="003858D7" w:rsidR="00251326">
        <w:t>11%</w:t>
      </w:r>
      <w:r w:rsidRPr="003858D7">
        <w:t>, minkä myötä liikevaihdon keskimääräinen muutos</w:t>
      </w:r>
      <w:r w:rsidRPr="00403A4D">
        <w:t xml:space="preserve"> viiden vuoden ajanjaksolla oli </w:t>
      </w:r>
      <w:r w:rsidR="00251326">
        <w:t>-2</w:t>
      </w:r>
      <w:r w:rsidRPr="00403A4D">
        <w:t>% vuodessa. Maailmanlaajui</w:t>
      </w:r>
      <w:r>
        <w:t>s</w:t>
      </w:r>
      <w:r w:rsidRPr="00403A4D">
        <w:t>en BK</w:t>
      </w:r>
      <w:r w:rsidR="00251326">
        <w:t>T</w:t>
      </w:r>
      <w:r>
        <w:t>:n</w:t>
      </w:r>
      <w:r w:rsidRPr="00403A4D">
        <w:t xml:space="preserve"> </w:t>
      </w:r>
      <w:r>
        <w:t>k</w:t>
      </w:r>
      <w:r w:rsidRPr="00403A4D">
        <w:t xml:space="preserve">eskimääräinen kasvu viiden vuoden ajanjaksolla oli </w:t>
      </w:r>
      <w:r w:rsidR="00251326">
        <w:t>2,3</w:t>
      </w:r>
      <w:r w:rsidRPr="00403A4D">
        <w:t>% vuodessa</w:t>
      </w:r>
      <w:r>
        <w:t xml:space="preserve"> </w:t>
      </w:r>
      <w:r w:rsidRPr="008E218F">
        <w:t>(lähde: IMF:n arvio lokakuussa 2020)</w:t>
      </w:r>
      <w:r w:rsidRPr="00403A4D">
        <w:t xml:space="preserve">. </w:t>
      </w:r>
      <w:r w:rsidRPr="003858D7">
        <w:t>Wärtsilän</w:t>
      </w:r>
      <w:r>
        <w:t xml:space="preserve"> v</w:t>
      </w:r>
      <w:r w:rsidRPr="00403A4D">
        <w:t xml:space="preserve">ertailukelpoinen liiketulos oli </w:t>
      </w:r>
      <w:r>
        <w:t>275</w:t>
      </w:r>
      <w:r>
        <w:t xml:space="preserve"> </w:t>
      </w:r>
      <w:r w:rsidRPr="00403A4D">
        <w:t xml:space="preserve">miljoonaa euroa eli </w:t>
      </w:r>
      <w:r>
        <w:t>6,0</w:t>
      </w:r>
      <w:r w:rsidRPr="004E7B28">
        <w:rPr>
          <w:lang w:val="en-GB"/>
        </w:rPr>
        <w:t xml:space="preserve">% liikevaihdosta. </w:t>
      </w:r>
      <w:r w:rsidRPr="00382400">
        <w:rPr>
          <w:lang w:val="en-GB"/>
        </w:rPr>
        <w:t xml:space="preserve">Nettovelkaantumisaste </w:t>
      </w:r>
      <w:r w:rsidRPr="0049539A">
        <w:rPr>
          <w:lang w:val="en-GB"/>
        </w:rPr>
        <w:t>laski 0.18:een</w:t>
      </w:r>
      <w:r w:rsidRPr="00382400">
        <w:rPr>
          <w:lang w:val="en-GB"/>
        </w:rPr>
        <w:t xml:space="preserve">. </w:t>
      </w:r>
      <w:r w:rsidRPr="00403A4D">
        <w:t>Hallituks</w:t>
      </w:r>
      <w:r w:rsidRPr="00403A4D">
        <w:t xml:space="preserve">en osinkoehdotus </w:t>
      </w:r>
      <w:r>
        <w:t>0,20</w:t>
      </w:r>
      <w:r w:rsidRPr="00403A4D">
        <w:t xml:space="preserve"> euroa osaketta kohti on </w:t>
      </w:r>
      <w:r>
        <w:t>88,2</w:t>
      </w:r>
      <w:r w:rsidRPr="00403A4D">
        <w:t>% osakekohtaisesta tuloksesta.</w:t>
      </w:r>
    </w:p>
    <w:p w:rsidR="007543CC" w:rsidRPr="00403A4D" w:rsidP="00F01220">
      <w:pPr>
        <w:pStyle w:val="WHeading4"/>
      </w:pPr>
      <w:r w:rsidRPr="00563C5C">
        <w:rPr>
          <w:noProof/>
        </w:rPr>
        <mc:AlternateContent>
          <mc:Choice Requires="wps">
            <w:drawing>
              <wp:anchor distT="45720" distB="45720" distL="114300" distR="114300" simplePos="0" relativeHeight="251659264" behindDoc="0" locked="0" layoutInCell="1" allowOverlap="1">
                <wp:simplePos x="0" y="0"/>
                <wp:positionH relativeFrom="leftMargin">
                  <wp:posOffset>403225</wp:posOffset>
                </wp:positionH>
                <wp:positionV relativeFrom="margin">
                  <wp:posOffset>3757930</wp:posOffset>
                </wp:positionV>
                <wp:extent cx="6461760" cy="1851660"/>
                <wp:effectExtent l="0" t="0" r="0" b="0"/>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461760" cy="1851660"/>
                        </a:xfrm>
                        <a:prstGeom prst="rect">
                          <a:avLst/>
                        </a:prstGeom>
                        <a:solidFill>
                          <a:srgbClr val="FFFFFF"/>
                        </a:solidFill>
                        <a:ln w="9525">
                          <a:noFill/>
                          <a:miter lim="800000"/>
                          <a:headEnd/>
                          <a:tailEnd/>
                        </a:ln>
                      </wps:spPr>
                      <wps:txbx>
                        <w:txbxContent>
                          <w:tbl>
                            <w:tblPr>
                              <w:tblStyle w:val="TableGrid"/>
                              <w:tblW w:w="9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9302"/>
                            </w:tblGrid>
                            <w:tr w:rsidTr="000A5898">
                              <w:tblPrEx>
                                <w:tblW w:w="9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2662"/>
                              </w:trPr>
                              <w:tc>
                                <w:tcPr>
                                  <w:tcW w:w="9302" w:type="dxa"/>
                                  <w:hideMark/>
                                </w:tcPr>
                                <w:p w:rsidR="00F022B4" w:rsidP="00F022B4">
                                  <w:pPr>
                                    <w:suppressAutoHyphens/>
                                    <w:spacing w:after="120" w:line="276" w:lineRule="auto"/>
                                    <w:rPr>
                                      <w:rFonts w:ascii="Arial" w:hAnsi="Arial" w:cs="Arial"/>
                                      <w:spacing w:val="2"/>
                                      <w:sz w:val="17"/>
                                      <w:szCs w:val="17"/>
                                      <w:lang w:val="fi-FI"/>
                                    </w:rPr>
                                  </w:pPr>
                                  <w:r>
                                    <w:rPr>
                                      <w:rFonts w:ascii="Arial" w:hAnsi="Arial" w:cs="Arial"/>
                                      <w:spacing w:val="2"/>
                                      <w:sz w:val="17"/>
                                      <w:szCs w:val="17"/>
                                      <w:lang w:val="fi-FI"/>
                                    </w:rPr>
                                    <w:br w:type="column"/>
                                    <w:t xml:space="preserve"> </w:t>
                                  </w:r>
                                </w:p>
                                <w:p w:rsidR="006A3AD0" w:rsidRPr="00D65C4B" w:rsidP="00D65C4B">
                                  <w:pPr>
                                    <w:pStyle w:val="Subtitle"/>
                                    <w:spacing w:line="276" w:lineRule="auto"/>
                                    <w:rPr>
                                      <w:rStyle w:val="BookTitle"/>
                                      <w:bCs w:val="0"/>
                                    </w:rPr>
                                  </w:pPr>
                                  <w:r w:rsidRPr="006167A6">
                                    <w:t xml:space="preserve">Taloudelliset </w:t>
                                  </w:r>
                                  <w:r w:rsidRPr="00D65C4B">
                                    <w:rPr>
                                      <w:rStyle w:val="SubtitleChar"/>
                                      <w:b/>
                                      <w:bCs/>
                                    </w:rPr>
                                    <w:t>tavoitteet</w:t>
                                  </w:r>
                                </w:p>
                                <w:tbl>
                                  <w:tblPr>
                                    <w:tblStyle w:val="TableNormal"/>
                                    <w:tblCaption w:val="Table_Financial_targets_FI"/>
                                    <w:tblW w:w="9975" w:type="dxa"/>
                                    <w:tblLook w:val="0600"/>
                                  </w:tblPr>
                                  <w:tblGrid>
                                    <w:gridCol w:w="6105"/>
                                    <w:gridCol w:w="1935"/>
                                    <w:gridCol w:w="1935"/>
                                  </w:tblGrid>
                                  <w:tr>
                                    <w:tblPrEx>
                                      <w:tblW w:w="9975" w:type="dxa"/>
                                      <w:tblLook w:val="0600"/>
                                    </w:tblPrEx>
                                    <w:trPr>
                                      <w:trHeight w:hRule="exact" w:val="253"/>
                                    </w:trPr>
                                    <w:tc>
                                      <w:tcPr>
                                        <w:tcW w:w="6105"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5"/>
                                            <w:u w:val="none"/>
                                            <w:vertAlign w:val="baseline"/>
                                          </w:rPr>
                                        </w:pPr>
                                      </w:p>
                                    </w:tc>
                                    <w:tc>
                                      <w:tcPr>
                                        <w:tcW w:w="19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Kehitys vuonna 2020</w:t>
                                        </w:r>
                                      </w:p>
                                    </w:tc>
                                    <w:tc>
                                      <w:tcPr>
                                        <w:tcW w:w="19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Kehitys vuonna 2019</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610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Liikevaihdon kasvu nopeampi kuin globaali BKT:n kasvu</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-11%</w:t>
                                        </w:r>
                                      </w:p>
                                    </w:tc>
                                    <w:tc>
                                      <w:tcPr>
                                        <w:tcW w:w="193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610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Vertailukelpoinen liikevoittomarginaali 10-14%</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6,0%</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8,8%</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610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Nettovelkaantumisaste alle 0,50</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0,18</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0,30</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3"/>
                                    </w:trPr>
                                    <w:tc>
                                      <w:tcPr>
                                        <w:tcW w:w="6105" w:type="dxa"/>
                                        <w:tcBorders>
                                          <w:top w:val="single" w:sz="4" w:space="0" w:color="004B6B"/>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Osingonmaksu vähintään 50% osakekohtaisesta tuloksesta yli suhdannesyklin</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88,2%*</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130,8%</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3"/>
                                    </w:trPr>
                                    <w:tc>
                                      <w:tcPr>
                                        <w:tcW w:w="6105" w:type="dxa"/>
                                        <w:tcBorders>
                                          <w:top w:val="single" w:sz="4" w:space="0" w:color="004B6B"/>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*Hallituksen ehdotus</w:t>
                                        </w:r>
                                      </w:p>
                                    </w:tc>
                                    <w:tc>
                                      <w:tcPr>
                                        <w:tcW w:w="1935" w:type="dxa"/>
                                        <w:tcBorders>
                                          <w:top w:val="single" w:sz="4" w:space="0" w:color="004B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22"/>
                                            <w:u w:val="none"/>
                                            <w:vertAlign w:val="baseline"/>
                                          </w:rPr>
                                        </w:pPr>
                                      </w:p>
                                    </w:tc>
                                    <w:tc>
                                      <w:tcPr>
                                        <w:tcW w:w="1935" w:type="dxa"/>
                                        <w:tcBorders>
                                          <w:top w:val="single" w:sz="4" w:space="0" w:color="004B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22"/>
                                            <w:u w:val="none"/>
                                            <w:vertAlign w:val="baseline"/>
                                          </w:rPr>
                                        </w:pPr>
                                      </w:p>
                                    </w:tc>
                                  </w:tr>
                                </w:tbl>
                                <w:p/>
                              </w:tc>
                            </w:tr>
                          </w:tbl>
                          <w:p w:rsidR="00563C5C" w:rsidP="000A5898"/>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508.8pt;height:145.8pt;margin-top:295.9pt;margin-left:31.75pt;mso-height-percent:0;mso-height-relative:margin;mso-position-horizontal-relative:left-margin-area;mso-position-vertical-relative:margin;mso-width-percent:0;mso-width-relative:margin;mso-wrap-distance-bottom:3.6pt;mso-wrap-distance-left:9pt;mso-wrap-distance-right:9pt;mso-wrap-distance-top:3.6pt;position:absolute;v-text-anchor:top;z-index:251658240" fillcolor="white" stroked="f" strokeweight="0.75pt">
                <v:textbox>
                  <w:txbxContent>
                    <w:tbl>
                      <w:tblPr>
                        <w:tblStyle w:val="TableGrid"/>
                        <w:tblW w:w="9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9302"/>
                      </w:tblGrid>
                      <w:tr w:rsidTr="000A5898">
                        <w:tblPrEx>
                          <w:tblW w:w="93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2662"/>
                        </w:trPr>
                        <w:tc>
                          <w:tcPr>
                            <w:tcW w:w="9302" w:type="dxa"/>
                            <w:hideMark/>
                          </w:tcPr>
                          <w:p w:rsidR="00F022B4" w:rsidP="00F022B4">
                            <w:pPr>
                              <w:suppressAutoHyphens/>
                              <w:spacing w:after="120" w:line="276" w:lineRule="auto"/>
                              <w:rPr>
                                <w:rFonts w:ascii="Arial" w:hAnsi="Arial" w:cs="Arial"/>
                                <w:spacing w:val="2"/>
                                <w:sz w:val="17"/>
                                <w:szCs w:val="17"/>
                                <w:lang w:val="fi-FI"/>
                              </w:rPr>
                            </w:pPr>
                            <w:r>
                              <w:rPr>
                                <w:rFonts w:ascii="Arial" w:hAnsi="Arial" w:cs="Arial"/>
                                <w:spacing w:val="2"/>
                                <w:sz w:val="17"/>
                                <w:szCs w:val="17"/>
                                <w:lang w:val="fi-FI"/>
                              </w:rPr>
                              <w:br w:type="column"/>
                              <w:t xml:space="preserve"> </w:t>
                            </w:r>
                          </w:p>
                          <w:p w:rsidR="006A3AD0" w:rsidRPr="00D65C4B" w:rsidP="00D65C4B">
                            <w:pPr>
                              <w:pStyle w:val="Subtitle"/>
                              <w:spacing w:line="276" w:lineRule="auto"/>
                              <w:rPr>
                                <w:rStyle w:val="BookTitle"/>
                                <w:bCs w:val="0"/>
                              </w:rPr>
                            </w:pPr>
                            <w:r w:rsidRPr="006167A6">
                              <w:t xml:space="preserve">Taloudelliset </w:t>
                            </w:r>
                            <w:r w:rsidRPr="00D65C4B">
                              <w:rPr>
                                <w:rStyle w:val="SubtitleChar"/>
                                <w:b/>
                                <w:bCs/>
                              </w:rPr>
                              <w:t>tavoitteet</w:t>
                            </w:r>
                          </w:p>
                          <w:tbl>
                            <w:tblPr>
                              <w:tblStyle w:val="TableNormal"/>
                              <w:tblCaption w:val="Table_Financial_targets_FI"/>
                              <w:tblW w:w="9975" w:type="dxa"/>
                              <w:tblLook w:val="0600"/>
                            </w:tblPr>
                            <w:tblGrid>
                              <w:gridCol w:w="6105"/>
                              <w:gridCol w:w="1935"/>
                              <w:gridCol w:w="1935"/>
                            </w:tblGrid>
                            <w:tr>
                              <w:tblPrEx>
                                <w:tblW w:w="9975" w:type="dxa"/>
                                <w:tblLook w:val="0600"/>
                              </w:tblPrEx>
                              <w:trPr>
                                <w:trHeight w:hRule="exact" w:val="253"/>
                              </w:trPr>
                              <w:tc>
                                <w:tcPr>
                                  <w:tcW w:w="6105"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5"/>
                                      <w:u w:val="none"/>
                                      <w:vertAlign w:val="baseline"/>
                                    </w:rPr>
                                  </w:pPr>
                                </w:p>
                              </w:tc>
                              <w:tc>
                                <w:tcPr>
                                  <w:tcW w:w="19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Kehitys vuonna 2020</w:t>
                                  </w:r>
                                </w:p>
                              </w:tc>
                              <w:tc>
                                <w:tcPr>
                                  <w:tcW w:w="19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Kehitys vuonna 2019</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610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Liikevaihdon kasvu nopeampi kuin globaali BKT:n kasvu</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-11%</w:t>
                                  </w:r>
                                </w:p>
                              </w:tc>
                              <w:tc>
                                <w:tcPr>
                                  <w:tcW w:w="193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610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Vertailukelpoinen liikevoittomarginaali 10-14%</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6,0%</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8,8%</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610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Nettovelkaantumisaste alle 0,50</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0,18</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0,30</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3"/>
                              </w:trPr>
                              <w:tc>
                                <w:tcPr>
                                  <w:tcW w:w="6105" w:type="dxa"/>
                                  <w:tcBorders>
                                    <w:top w:val="single" w:sz="4" w:space="0" w:color="004B6B"/>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Osingonmaksu vähintään 50% osakekohtaisesta tuloksesta yli suhdannesyklin</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88,2%*</w:t>
                                  </w:r>
                                </w:p>
                              </w:tc>
                              <w:tc>
                                <w:tcPr>
                                  <w:tcW w:w="193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130,8%</w:t>
                                  </w:r>
                                </w:p>
                              </w:tc>
                            </w:tr>
                            <w:tr>
                              <w:tblPrEx>
                                <w:tblW w:w="9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3"/>
                              </w:trPr>
                              <w:tc>
                                <w:tcPr>
                                  <w:tcW w:w="6105" w:type="dxa"/>
                                  <w:tcBorders>
                                    <w:top w:val="single" w:sz="4" w:space="0" w:color="004B6B"/>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*Hallituksen ehdotus</w:t>
                                  </w:r>
                                </w:p>
                              </w:tc>
                              <w:tc>
                                <w:tcPr>
                                  <w:tcW w:w="1935" w:type="dxa"/>
                                  <w:tcBorders>
                                    <w:top w:val="single" w:sz="4" w:space="0" w:color="004B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22"/>
                                      <w:u w:val="none"/>
                                      <w:vertAlign w:val="baseline"/>
                                    </w:rPr>
                                  </w:pPr>
                                </w:p>
                              </w:tc>
                              <w:tc>
                                <w:tcPr>
                                  <w:tcW w:w="1935" w:type="dxa"/>
                                  <w:tcBorders>
                                    <w:top w:val="single" w:sz="4" w:space="0" w:color="004B6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22"/>
                                      <w:u w:val="none"/>
                                      <w:vertAlign w:val="baseline"/>
                                    </w:rPr>
                                  </w:pPr>
                                </w:p>
                              </w:tc>
                            </w:tr>
                          </w:tbl>
                          <w:p/>
                        </w:tc>
                      </w:tr>
                    </w:tbl>
                    <w:p w:rsidR="00563C5C" w:rsidP="000A5898"/>
                  </w:txbxContent>
                </v:textbox>
                <w10:wrap type="square"/>
              </v:shape>
            </w:pict>
          </mc:Fallback>
        </mc:AlternateContent>
      </w:r>
      <w:r>
        <w:t xml:space="preserve"> </w:t>
      </w:r>
    </w:p>
    <w:p>
      <w:r>
        <w:br/>
      </w:r>
    </w:p>
    <w:p w:rsidR="00C612D3" w:rsidRPr="0022534C" w:rsidP="00B30FF3" w14:paraId="25A7B625" w14:textId="5DF75C18">
      <w:pPr>
        <w:pStyle w:val="WHeading20"/>
        <w:rPr>
          <w:b w:val="0"/>
          <w:bCs/>
          <w:szCs w:val="20"/>
          <w:lang w:val="en-GB"/>
        </w:rPr>
      </w:pPr>
      <w:bookmarkStart w:id="4" w:name="RG_MARKER_3911"/>
      <w:r w:rsidRPr="0022534C">
        <w:rPr>
          <w:bCs/>
          <w:szCs w:val="20"/>
          <w:lang w:val="en-GB"/>
        </w:rPr>
        <w:t xml:space="preserve">VUOSI </w:t>
      </w:r>
      <w:bookmarkEnd w:id="4"/>
      <w:r>
        <w:rPr>
          <w:bCs/>
          <w:szCs w:val="20"/>
          <w:lang w:val="en-GB"/>
        </w:rPr>
        <w:t>2020</w:t>
      </w:r>
    </w:p>
    <w:p w:rsidR="0088375F" w:rsidRPr="00A47D7C" w:rsidP="00B825B0">
      <w:pPr>
        <w:pStyle w:val="WHeading3"/>
      </w:pPr>
      <w:bookmarkStart w:id="5" w:name="RG_MARKER_5106"/>
      <w:r w:rsidRPr="00A47D7C">
        <w:t>Liiketoimintaympäristö</w:t>
      </w:r>
      <w:bookmarkEnd w:id="5"/>
    </w:p>
    <w:p w:rsidR="007D550D" w:rsidRPr="00A47D7C" w:rsidP="00B825B0">
      <w:pPr>
        <w:pStyle w:val="WHeading4"/>
      </w:pPr>
      <w:r w:rsidRPr="00A47D7C">
        <w:t>Merenkulkumarkkinat</w:t>
      </w:r>
    </w:p>
    <w:p w:rsidR="00A47D7C" w:rsidRPr="009A287C" w:rsidP="009A287C">
      <w:pPr>
        <w:pStyle w:val="WNormal"/>
      </w:pPr>
      <w:r w:rsidRPr="009A287C">
        <w:t>Koronaviruspandemian</w:t>
      </w:r>
      <w:r w:rsidRPr="009A287C">
        <w:t xml:space="preserve"> (COVID-19) vaikutukset heikensivät merkittävästi laitteiden ja palvelujen kysyntää merenkulku- ja laivanrakennusmarkkinoilla koko vuoden 2020 ajan. Meriliikenteen väheneminen ja matkustusrajoitukset vaikuttivat erityisesti matkustaja-alusten käyttöasteisi</w:t>
      </w:r>
      <w:r w:rsidRPr="009A287C">
        <w:t>in ja rajoittivat halua investoida uusiin aluksiin. Tämän seurauksena vuoden aikana tehtiin vain 815 alustilausta (1 153 vuonna 2019 lukuun ottamatta raportointikauden jälkeen rekisteröityjä tilauksia). Myös varaosien ja huoltotoiminnan kysyntä laski. Marr</w:t>
      </w:r>
      <w:r w:rsidRPr="009A287C">
        <w:t>askuussa julkaistut uutiset koronarokotteen tuloksista lisäsivät luottamusta sekä uusien alusten että palveluiden kysynnän palautumiseen kaikilla alussegmenteillä.</w:t>
      </w:r>
    </w:p>
    <w:p w:rsidR="00A47D7C" w:rsidRPr="009A287C" w:rsidP="009A287C">
      <w:pPr>
        <w:pStyle w:val="WNormal"/>
      </w:pPr>
      <w:r w:rsidRPr="009A287C">
        <w:t>Risteilytoimintaan vaikuttivat voimakkaasti matkustusrajoitukset ja liikennöintikiellot. Huo</w:t>
      </w:r>
      <w:r w:rsidRPr="009A287C">
        <w:t>limatta risteilyaktiviteetin vähäisestä kasvusta vuoden loppua kohden suurin osa laivastosta on edelleen poissa käytöstä. Viru</w:t>
      </w:r>
      <w:r>
        <w:t>spandemian</w:t>
      </w:r>
      <w:r w:rsidRPr="009A287C">
        <w:t xml:space="preserve"> ensipuhkeamisen jälkeen ilmenneiden häiriöiden jälkeen matkustajalauttoja </w:t>
      </w:r>
      <w:r w:rsidRPr="009A287C" w:rsidR="005C6D0F">
        <w:t>otettiin</w:t>
      </w:r>
      <w:r w:rsidRPr="009A287C">
        <w:t xml:space="preserve"> asteittain</w:t>
      </w:r>
      <w:r w:rsidRPr="009A287C" w:rsidR="005C6D0F">
        <w:t xml:space="preserve"> uudelleen käyttöön</w:t>
      </w:r>
      <w:r w:rsidRPr="009A287C">
        <w:t xml:space="preserve"> kesän </w:t>
      </w:r>
      <w:r w:rsidRPr="009A287C">
        <w:t xml:space="preserve">aikana mutta jälleen </w:t>
      </w:r>
      <w:r w:rsidRPr="009A287C" w:rsidR="005C6D0F">
        <w:t xml:space="preserve">pois käytöstä </w:t>
      </w:r>
      <w:r w:rsidRPr="009A287C">
        <w:t xml:space="preserve">neljännellä vuosineljänneksellä, kun </w:t>
      </w:r>
      <w:r w:rsidRPr="009A287C" w:rsidR="005C6D0F">
        <w:t xml:space="preserve">tyypillisen kausiluonteisen kysynnän laantumisen lisäksi </w:t>
      </w:r>
      <w:r w:rsidRPr="009A287C">
        <w:t xml:space="preserve">uusi </w:t>
      </w:r>
      <w:r w:rsidRPr="009A287C" w:rsidR="005C6D0F">
        <w:t>koronavirus</w:t>
      </w:r>
      <w:r w:rsidRPr="009A287C">
        <w:t xml:space="preserve">aalto </w:t>
      </w:r>
      <w:r w:rsidRPr="009A287C" w:rsidR="005C6D0F">
        <w:t>iski</w:t>
      </w:r>
      <w:r w:rsidRPr="009A287C">
        <w:t xml:space="preserve"> Euroopan markkinoille. Offshore-sektori</w:t>
      </w:r>
      <w:r w:rsidRPr="009A287C" w:rsidR="008067F5">
        <w:t>a</w:t>
      </w:r>
      <w:r w:rsidRPr="009A287C">
        <w:t xml:space="preserve"> </w:t>
      </w:r>
      <w:r w:rsidRPr="009A287C" w:rsidR="008067F5">
        <w:t>painoi</w:t>
      </w:r>
      <w:r w:rsidRPr="009A287C">
        <w:t xml:space="preserve"> edelleen </w:t>
      </w:r>
      <w:r w:rsidRPr="009A287C" w:rsidR="005C6D0F">
        <w:t>huomatta</w:t>
      </w:r>
      <w:r w:rsidRPr="009A287C" w:rsidR="008067F5">
        <w:t>vasti</w:t>
      </w:r>
      <w:r w:rsidRPr="009A287C">
        <w:t xml:space="preserve"> öljyn </w:t>
      </w:r>
      <w:r w:rsidRPr="00305087">
        <w:t>alhai</w:t>
      </w:r>
      <w:r w:rsidRPr="00305087" w:rsidR="00190D87">
        <w:t>nen</w:t>
      </w:r>
      <w:r w:rsidRPr="009A287C">
        <w:t xml:space="preserve"> kysyn</w:t>
      </w:r>
      <w:r w:rsidRPr="009A287C" w:rsidR="008067F5">
        <w:t>tä</w:t>
      </w:r>
      <w:r w:rsidRPr="009A287C">
        <w:t xml:space="preserve">. </w:t>
      </w:r>
      <w:r w:rsidRPr="009A287C" w:rsidR="00AB709C">
        <w:t>Vähäisen</w:t>
      </w:r>
      <w:r w:rsidRPr="009A287C">
        <w:t xml:space="preserve"> </w:t>
      </w:r>
      <w:r w:rsidRPr="009A287C" w:rsidR="00AB709C">
        <w:t>öljyn</w:t>
      </w:r>
      <w:r w:rsidRPr="009A287C">
        <w:t>etsintätoimin</w:t>
      </w:r>
      <w:r w:rsidRPr="009A287C" w:rsidR="00AB709C">
        <w:t>nan vuoksi</w:t>
      </w:r>
      <w:r w:rsidRPr="009A287C">
        <w:t xml:space="preserve"> porauslauttojen ja tukialusten käyt</w:t>
      </w:r>
      <w:r w:rsidRPr="009A287C" w:rsidR="00AB709C">
        <w:t>töasteet</w:t>
      </w:r>
      <w:r w:rsidRPr="009A287C">
        <w:t xml:space="preserve"> lask</w:t>
      </w:r>
      <w:r w:rsidRPr="009A287C" w:rsidR="00AB709C">
        <w:t>ivat</w:t>
      </w:r>
      <w:r w:rsidRPr="009A287C">
        <w:t xml:space="preserve"> vuoden 2014 jälkeise</w:t>
      </w:r>
      <w:r w:rsidRPr="009A287C" w:rsidR="00AB709C">
        <w:t>n</w:t>
      </w:r>
      <w:r w:rsidRPr="009A287C">
        <w:t xml:space="preserve"> markkina</w:t>
      </w:r>
      <w:r w:rsidRPr="009A287C" w:rsidR="00AB709C">
        <w:t>syklin tasolle</w:t>
      </w:r>
      <w:r w:rsidRPr="009A287C">
        <w:t>. Toisaalta merituulivoimahankkeiden odotettu kasvu lisäsi erikoistunei</w:t>
      </w:r>
      <w:r w:rsidRPr="009A287C" w:rsidR="000609B9">
        <w:t>den</w:t>
      </w:r>
      <w:r w:rsidRPr="009A287C">
        <w:t xml:space="preserve"> alu</w:t>
      </w:r>
      <w:r w:rsidRPr="009A287C" w:rsidR="000609B9">
        <w:t>sten kysyntää</w:t>
      </w:r>
      <w:r w:rsidRPr="009A287C">
        <w:t xml:space="preserve"> </w:t>
      </w:r>
      <w:r w:rsidRPr="009A287C" w:rsidR="000609B9">
        <w:t xml:space="preserve">ja </w:t>
      </w:r>
      <w:r w:rsidRPr="009A287C">
        <w:t>tarjo</w:t>
      </w:r>
      <w:r w:rsidRPr="009A287C" w:rsidR="000609B9">
        <w:t>si siten mahdollisuuksia</w:t>
      </w:r>
      <w:r w:rsidRPr="009A287C">
        <w:t xml:space="preserve"> t</w:t>
      </w:r>
      <w:r w:rsidRPr="009A287C">
        <w:t>uulipuistoihin liittyvi</w:t>
      </w:r>
      <w:r w:rsidRPr="009A287C" w:rsidR="000609B9">
        <w:t>en uusien</w:t>
      </w:r>
      <w:r w:rsidRPr="009A287C">
        <w:t xml:space="preserve"> alu</w:t>
      </w:r>
      <w:r w:rsidRPr="009A287C" w:rsidR="000609B9">
        <w:t>sten ja</w:t>
      </w:r>
      <w:r w:rsidRPr="009A287C">
        <w:t xml:space="preserve"> palvelu</w:t>
      </w:r>
      <w:r w:rsidRPr="009A287C" w:rsidR="000609B9">
        <w:t>iden saralla</w:t>
      </w:r>
      <w:r w:rsidRPr="009A287C">
        <w:t xml:space="preserve">. Nesteytetyn maakaasun </w:t>
      </w:r>
      <w:r w:rsidRPr="009A287C" w:rsidR="000609B9">
        <w:t xml:space="preserve">(LNG) </w:t>
      </w:r>
      <w:r w:rsidRPr="009A287C">
        <w:t>kuljetus</w:t>
      </w:r>
      <w:r w:rsidRPr="009A287C" w:rsidR="000609B9">
        <w:t>sektorilla</w:t>
      </w:r>
      <w:r w:rsidRPr="009A287C">
        <w:t xml:space="preserve"> </w:t>
      </w:r>
      <w:r w:rsidRPr="009A287C" w:rsidR="00C46AB1">
        <w:t xml:space="preserve">rahtihinnat alkoivat kehittyä positiivisesti </w:t>
      </w:r>
      <w:r w:rsidRPr="009A287C">
        <w:t>kolmannella vuosineljänneksellä</w:t>
      </w:r>
      <w:r w:rsidRPr="009A287C" w:rsidR="00C46AB1">
        <w:t xml:space="preserve"> johtuen </w:t>
      </w:r>
      <w:r w:rsidRPr="009A287C">
        <w:t>LNG</w:t>
      </w:r>
      <w:r w:rsidRPr="009A287C" w:rsidR="00C46AB1">
        <w:t xml:space="preserve">:n </w:t>
      </w:r>
      <w:r w:rsidRPr="009A287C">
        <w:t>kysynnän nopea</w:t>
      </w:r>
      <w:r w:rsidRPr="009A287C" w:rsidR="00C46AB1">
        <w:t>sta</w:t>
      </w:r>
      <w:r w:rsidRPr="009A287C">
        <w:t xml:space="preserve"> kasvu</w:t>
      </w:r>
      <w:r w:rsidRPr="009A287C" w:rsidR="00C46AB1">
        <w:t xml:space="preserve">sta Aasiassa. Kysynnän kasvun taustalla olivat kausivaihtelut </w:t>
      </w:r>
      <w:r w:rsidRPr="009A287C" w:rsidR="00081DCE">
        <w:t>sekä</w:t>
      </w:r>
      <w:r w:rsidRPr="009A287C">
        <w:t xml:space="preserve"> useiden nesteytysterminaalien seisokkien aiheuttama </w:t>
      </w:r>
      <w:r w:rsidRPr="009A287C" w:rsidR="00C46AB1">
        <w:t>rajallinen</w:t>
      </w:r>
      <w:r w:rsidRPr="009A287C">
        <w:t xml:space="preserve"> tarjon</w:t>
      </w:r>
      <w:r w:rsidRPr="009A287C" w:rsidR="00C46AB1">
        <w:t>ta</w:t>
      </w:r>
      <w:r w:rsidRPr="009A287C">
        <w:t xml:space="preserve">. Konttialusmarkkinat toipuivat nopeasti </w:t>
      </w:r>
      <w:r w:rsidRPr="009A287C" w:rsidR="00C46AB1">
        <w:t>koronavirukse</w:t>
      </w:r>
      <w:r w:rsidRPr="009A287C">
        <w:t xml:space="preserve">n aiheuttamasta </w:t>
      </w:r>
      <w:r w:rsidRPr="009A287C" w:rsidR="00C46AB1">
        <w:t>ensi</w:t>
      </w:r>
      <w:r w:rsidRPr="009A287C">
        <w:t>sokista</w:t>
      </w:r>
      <w:r w:rsidRPr="009A287C" w:rsidR="008067F5">
        <w:t xml:space="preserve"> tukenaan</w:t>
      </w:r>
      <w:r w:rsidRPr="009A287C">
        <w:t xml:space="preserve"> kuljetusmäärien</w:t>
      </w:r>
      <w:r w:rsidRPr="009A287C" w:rsidR="008067F5">
        <w:t xml:space="preserve"> jatkuva</w:t>
      </w:r>
      <w:r w:rsidRPr="009A287C">
        <w:t xml:space="preserve"> kas</w:t>
      </w:r>
      <w:r w:rsidRPr="009A287C">
        <w:t xml:space="preserve">vu, joka johti korkeampiin </w:t>
      </w:r>
      <w:r w:rsidRPr="009A287C" w:rsidR="008067F5">
        <w:t>rahtihintoihin</w:t>
      </w:r>
      <w:r w:rsidRPr="009A287C">
        <w:t xml:space="preserve"> ja käyttämättömän kapasiteetin</w:t>
      </w:r>
      <w:r w:rsidRPr="009A287C" w:rsidR="008067F5">
        <w:t xml:space="preserve"> vähenemiseen</w:t>
      </w:r>
      <w:r w:rsidRPr="009A287C">
        <w:t>. Raakaöljy</w:t>
      </w:r>
      <w:r w:rsidRPr="009A287C" w:rsidR="008067F5">
        <w:t>-</w:t>
      </w:r>
      <w:r w:rsidRPr="009A287C">
        <w:t xml:space="preserve"> ja tuotesäiliöalusten tu</w:t>
      </w:r>
      <w:r w:rsidRPr="009A287C" w:rsidR="008067F5">
        <w:t>otot olivat yhä huomattavan paineen alla</w:t>
      </w:r>
      <w:r w:rsidRPr="009A287C">
        <w:t xml:space="preserve"> </w:t>
      </w:r>
      <w:r w:rsidRPr="009A287C" w:rsidR="00081DCE">
        <w:t>loppu</w:t>
      </w:r>
      <w:r w:rsidRPr="009A287C" w:rsidR="008067F5">
        <w:t xml:space="preserve">vuoden </w:t>
      </w:r>
      <w:r w:rsidRPr="009A287C" w:rsidR="00081DCE">
        <w:t>aikana, mikä johtui</w:t>
      </w:r>
      <w:r w:rsidRPr="009A287C" w:rsidR="008067F5">
        <w:t xml:space="preserve"> </w:t>
      </w:r>
      <w:r w:rsidRPr="009A287C">
        <w:t>öljyn</w:t>
      </w:r>
      <w:r w:rsidRPr="009A287C" w:rsidR="008067F5">
        <w:t>tuotannon</w:t>
      </w:r>
      <w:r w:rsidRPr="009A287C">
        <w:t xml:space="preserve"> </w:t>
      </w:r>
      <w:r w:rsidRPr="009A287C" w:rsidR="008067F5">
        <w:t>leikkau</w:t>
      </w:r>
      <w:r w:rsidRPr="009A287C" w:rsidR="00081DCE">
        <w:t>sten</w:t>
      </w:r>
      <w:r w:rsidRPr="009A287C">
        <w:t xml:space="preserve"> ja kelluvien varastojen </w:t>
      </w:r>
      <w:r w:rsidR="00EA6FF4">
        <w:t>purkamisen</w:t>
      </w:r>
      <w:r w:rsidRPr="009A287C" w:rsidR="00081DCE">
        <w:t xml:space="preserve"> aiheuttamasta</w:t>
      </w:r>
      <w:r w:rsidRPr="009A287C" w:rsidR="008067F5">
        <w:t xml:space="preserve"> </w:t>
      </w:r>
      <w:r w:rsidRPr="009A287C">
        <w:t>öljyn kysyn</w:t>
      </w:r>
      <w:r w:rsidRPr="009A287C" w:rsidR="00081DCE">
        <w:t>nän laskusta</w:t>
      </w:r>
      <w:r w:rsidRPr="009A287C">
        <w:t xml:space="preserve">. Vaikka irtolastialusten tuotot kasvoivat toisella vuosipuoliskolla </w:t>
      </w:r>
      <w:r w:rsidRPr="009A287C" w:rsidR="00081DCE">
        <w:t xml:space="preserve">johtuen </w:t>
      </w:r>
      <w:r w:rsidRPr="009A287C">
        <w:t xml:space="preserve">rautamalmin </w:t>
      </w:r>
      <w:r w:rsidRPr="009A287C" w:rsidR="00081DCE">
        <w:t xml:space="preserve">suuremmasta </w:t>
      </w:r>
      <w:r w:rsidRPr="009A287C">
        <w:t>kysynnä</w:t>
      </w:r>
      <w:r w:rsidRPr="009A287C" w:rsidR="00081DCE">
        <w:t>stä Kiinassa</w:t>
      </w:r>
      <w:r w:rsidRPr="009A287C">
        <w:t xml:space="preserve">, </w:t>
      </w:r>
      <w:r w:rsidRPr="009A287C" w:rsidR="00081DCE">
        <w:t>poissa käytöstä</w:t>
      </w:r>
      <w:r w:rsidRPr="009A287C">
        <w:t xml:space="preserve"> olevien alusten määrä on edelleen </w:t>
      </w:r>
      <w:r w:rsidRPr="009A287C" w:rsidR="00081DCE">
        <w:t>tavallista korkeampi</w:t>
      </w:r>
      <w:r w:rsidRPr="009A287C">
        <w:t>.</w:t>
      </w:r>
    </w:p>
    <w:p w:rsidR="00E318B8" w:rsidRPr="009A287C" w:rsidP="009A287C">
      <w:pPr>
        <w:pStyle w:val="WNormal"/>
      </w:pPr>
      <w:r w:rsidRPr="009A287C">
        <w:t>Vähärikkisen ja rikkipit</w:t>
      </w:r>
      <w:r w:rsidRPr="009A287C">
        <w:t xml:space="preserve">oisen polttoaineen välinen hintaero kaventui merkittävästi johtuen sekä öljyn hinnan jyrkästä laskusta että vähärikkisen polttoaineen paremmasta saatavuudesta. Tämä hidasti sekä olemassa oleviin että uusiin aluksiin tehtäviä rikkipesuriasennuksia. </w:t>
      </w:r>
      <w:r>
        <w:t>M</w:t>
      </w:r>
      <w:r w:rsidRPr="009A287C">
        <w:t>arrasku</w:t>
      </w:r>
      <w:r w:rsidRPr="009A287C">
        <w:t xml:space="preserve">ussa </w:t>
      </w:r>
      <w:r w:rsidRPr="009A287C">
        <w:t>öljyn hinta nousi</w:t>
      </w:r>
      <w:r>
        <w:t xml:space="preserve"> </w:t>
      </w:r>
      <w:r>
        <w:t>k</w:t>
      </w:r>
      <w:r w:rsidRPr="009A287C">
        <w:t>oronarokot</w:t>
      </w:r>
      <w:r>
        <w:t>eläpimurroista kertovien</w:t>
      </w:r>
      <w:r w:rsidRPr="009A287C">
        <w:t xml:space="preserve"> positiivisten uutisten jälkeen</w:t>
      </w:r>
      <w:r w:rsidRPr="009A287C">
        <w:t xml:space="preserve">, </w:t>
      </w:r>
      <w:r>
        <w:t>minkä</w:t>
      </w:r>
      <w:r w:rsidRPr="009A287C">
        <w:t xml:space="preserve"> seurauksena</w:t>
      </w:r>
      <w:r w:rsidR="00EA6FF4">
        <w:t xml:space="preserve"> myös</w:t>
      </w:r>
      <w:r w:rsidRPr="009A287C">
        <w:t xml:space="preserve"> polttoaineiden hintaero nousi noin 80 dollariin tonnilta. Rikkipesurimarkkinoille on kuitenkin edelleen ominaista suuri epävarmuus, j</w:t>
      </w:r>
      <w:r w:rsidRPr="009A287C">
        <w:t xml:space="preserve">oka </w:t>
      </w:r>
      <w:r>
        <w:t>aiheu</w:t>
      </w:r>
      <w:r w:rsidRPr="009A287C">
        <w:t xml:space="preserve">tuu lähinnä tulevaisuuden hintaerojen </w:t>
      </w:r>
      <w:r w:rsidR="00EA6FF4">
        <w:t>heikosta</w:t>
      </w:r>
      <w:r w:rsidRPr="009A287C">
        <w:t xml:space="preserve"> ennustettavuudesta.</w:t>
      </w:r>
    </w:p>
    <w:p w:rsidR="00A51287" w:rsidRPr="009A287C" w:rsidP="009A287C">
      <w:pPr>
        <w:pStyle w:val="WNormal"/>
      </w:pPr>
      <w:r w:rsidRPr="009A287C">
        <w:t>Vaikka pandemia on vähentänyt kaupankäyntiä merkittävästi, on se myös nopeuttanut digitaalista mu</w:t>
      </w:r>
      <w:r>
        <w:t>rr</w:t>
      </w:r>
      <w:r w:rsidRPr="009A287C">
        <w:t>osta siten, että uusien teknologioiden ja digitaalisten sovellusten käyttöönottoa</w:t>
      </w:r>
      <w:r w:rsidRPr="009A287C">
        <w:t xml:space="preserve"> pidetään </w:t>
      </w:r>
      <w:r w:rsidRPr="009A287C" w:rsidR="00B442EC">
        <w:t xml:space="preserve">nyt </w:t>
      </w:r>
      <w:r w:rsidRPr="009A287C">
        <w:t xml:space="preserve">välttämättömänä. Matkustusrajoitukset ovat lisänneet </w:t>
      </w:r>
      <w:r>
        <w:t xml:space="preserve">myös </w:t>
      </w:r>
      <w:r w:rsidRPr="009A287C">
        <w:t>pilvipohjaisten etäratkaisujen käyttöä. Alusten ja satamien välinen viestintä sekä asiakirjojen ja tiedon vaihto tehdään yhä useammin sähköisesti henkilökohtaisen vuorovaikutuksen sija</w:t>
      </w:r>
      <w:r w:rsidRPr="009A287C">
        <w:t>an sekä aluksilla että satamissa. Lisäksi alusten toimintoja optimoivi</w:t>
      </w:r>
      <w:r>
        <w:t>en</w:t>
      </w:r>
      <w:r w:rsidRPr="009A287C" w:rsidR="004865CB">
        <w:t xml:space="preserve"> ja suorituskyvyn hallintaa tukevi</w:t>
      </w:r>
      <w:r>
        <w:t>en</w:t>
      </w:r>
      <w:r w:rsidRPr="009A287C">
        <w:t xml:space="preserve"> teknologioi</w:t>
      </w:r>
      <w:r>
        <w:t>den</w:t>
      </w:r>
      <w:r w:rsidRPr="009A287C">
        <w:t xml:space="preserve"> </w:t>
      </w:r>
      <w:r w:rsidRPr="009A287C" w:rsidR="00B442EC">
        <w:t xml:space="preserve">ymmärretään olevan </w:t>
      </w:r>
      <w:r>
        <w:t>keskeisessä roolissa kannattavuuden turvaamisessa kilpailluilla markkinoilla</w:t>
      </w:r>
      <w:r w:rsidRPr="009A287C">
        <w:t>. </w:t>
      </w:r>
    </w:p>
    <w:p w:rsidR="00DE3EE9" w:rsidRPr="009A287C" w:rsidP="009A287C">
      <w:pPr>
        <w:pStyle w:val="WNormal"/>
      </w:pPr>
      <w:r w:rsidRPr="009A287C">
        <w:t xml:space="preserve">Samaan aikaan muutos kohti </w:t>
      </w:r>
      <w:r w:rsidRPr="009A287C">
        <w:t>hiilineutraalia merenkulkualaa kiihtyi edelleen. Vaihtoehtoisia polttoaineita käyttävien alusten osuus kaikista uusien alusten tilauksista kasvoi vuoden aikana. LNG on vahvistanut asemaansa yleisimmin käytössä olevana vaihtoehtoisena polttoaineena</w:t>
      </w:r>
      <w:r>
        <w:t xml:space="preserve">, </w:t>
      </w:r>
      <w:r w:rsidRPr="00C81712">
        <w:t>koska s</w:t>
      </w:r>
      <w:r w:rsidRPr="00C81712">
        <w:t>e mahdollistaa välittömät kasvihuonekaasupäästöjen vähennykset</w:t>
      </w:r>
      <w:r>
        <w:t xml:space="preserve">. </w:t>
      </w:r>
      <w:r w:rsidRPr="00C81712">
        <w:t xml:space="preserve">Lisäksi nesteytetyn maakaasun polttamiseen käytettävä </w:t>
      </w:r>
      <w:r>
        <w:t>moni</w:t>
      </w:r>
      <w:r w:rsidRPr="00C81712">
        <w:t>polttoainemoottoriteknologia on polttoainejoustava</w:t>
      </w:r>
      <w:r>
        <w:t>a</w:t>
      </w:r>
      <w:r w:rsidRPr="00C81712">
        <w:t xml:space="preserve">, mikä </w:t>
      </w:r>
      <w:r>
        <w:t>pienentää</w:t>
      </w:r>
      <w:r w:rsidRPr="00C81712">
        <w:t xml:space="preserve"> tulev</w:t>
      </w:r>
      <w:r>
        <w:t>aisuuden</w:t>
      </w:r>
      <w:r w:rsidRPr="00C81712">
        <w:t xml:space="preserve"> polttoaineisiin liittyv</w:t>
      </w:r>
      <w:r>
        <w:t>ä</w:t>
      </w:r>
      <w:r w:rsidRPr="00C81712">
        <w:t>n epävarmuu</w:t>
      </w:r>
      <w:r>
        <w:t>den aiheuttamia l</w:t>
      </w:r>
      <w:r>
        <w:t>iiketoimintariskejä. Ki</w:t>
      </w:r>
      <w:r w:rsidRPr="009A287C">
        <w:t xml:space="preserve">innostus </w:t>
      </w:r>
      <w:r>
        <w:t xml:space="preserve">myös </w:t>
      </w:r>
      <w:r w:rsidRPr="009A287C">
        <w:t xml:space="preserve">hiilettömiä polttoaineita, kuten </w:t>
      </w:r>
      <w:r>
        <w:t xml:space="preserve">biopolttoaineita, </w:t>
      </w:r>
      <w:r w:rsidRPr="009A287C">
        <w:t>ammoniakkia ja vetyä, sekä erilaisia energiansäästöteknologioita kohtaan kasvaa. Kansainvälinen merenkulkujärjestö IMO julkaisi marraskuussa suunnitelman</w:t>
      </w:r>
      <w:r w:rsidRPr="009A287C" w:rsidR="009A287C">
        <w:t>, joka vie</w:t>
      </w:r>
      <w:r w:rsidRPr="009A287C">
        <w:t xml:space="preserve"> mere</w:t>
      </w:r>
      <w:r w:rsidRPr="009A287C">
        <w:t xml:space="preserve">nkulkualaa kohti </w:t>
      </w:r>
      <w:r>
        <w:t xml:space="preserve">sen kunnianhimoisia </w:t>
      </w:r>
      <w:r w:rsidRPr="009A287C">
        <w:t>hiilineutraaliustavoitteita</w:t>
      </w:r>
      <w:r w:rsidRPr="009A287C" w:rsidR="009A287C">
        <w:t>.</w:t>
      </w:r>
      <w:r w:rsidRPr="009A287C">
        <w:t xml:space="preserve"> </w:t>
      </w:r>
      <w:r w:rsidRPr="009A287C" w:rsidR="009A287C">
        <w:t>S</w:t>
      </w:r>
      <w:r w:rsidRPr="009A287C">
        <w:t>iihen li</w:t>
      </w:r>
      <w:r w:rsidRPr="009A287C" w:rsidR="009A287C">
        <w:t>i</w:t>
      </w:r>
      <w:r w:rsidRPr="009A287C">
        <w:t>ttyv</w:t>
      </w:r>
      <w:r w:rsidRPr="009A287C" w:rsidR="009A287C">
        <w:t>ät</w:t>
      </w:r>
      <w:r w:rsidRPr="009A287C">
        <w:t xml:space="preserve"> toimintaohje</w:t>
      </w:r>
      <w:r w:rsidRPr="009A287C" w:rsidR="009A287C">
        <w:t>et</w:t>
      </w:r>
      <w:r w:rsidRPr="009A287C">
        <w:t xml:space="preserve"> </w:t>
      </w:r>
      <w:r w:rsidRPr="009A287C" w:rsidR="009A287C">
        <w:t>tulevat</w:t>
      </w:r>
      <w:r w:rsidRPr="009A287C">
        <w:t xml:space="preserve"> voimaan vuodesta 2022 </w:t>
      </w:r>
      <w:r w:rsidRPr="009A287C" w:rsidR="009A287C">
        <w:t>alkaen</w:t>
      </w:r>
      <w:r w:rsidRPr="009A287C">
        <w:t xml:space="preserve">. </w:t>
      </w:r>
      <w:r>
        <w:t>Lisäksi</w:t>
      </w:r>
      <w:r w:rsidRPr="009A287C">
        <w:t xml:space="preserve"> Euroopan parlamentti hyväksyi ehdotuksen meriliikenteen sisällyttämisestä päästökauppajärjestelmään. Koska uusie</w:t>
      </w:r>
      <w:r w:rsidRPr="009A287C">
        <w:t xml:space="preserve">n sääntöjen odotetaan tulevina vuosina vaativan </w:t>
      </w:r>
      <w:r w:rsidRPr="009A287C" w:rsidR="009A287C">
        <w:t>varustamoita</w:t>
      </w:r>
      <w:r w:rsidRPr="009A287C">
        <w:t xml:space="preserve"> vähentämään päästöjään teknisillä tai operatiivisilla toimenpiteillä,</w:t>
      </w:r>
      <w:r w:rsidRPr="009A287C" w:rsidR="009A287C">
        <w:t xml:space="preserve"> alalla</w:t>
      </w:r>
      <w:r w:rsidRPr="009A287C">
        <w:t xml:space="preserve"> vallitsee yhä </w:t>
      </w:r>
      <w:r w:rsidRPr="009A287C">
        <w:t xml:space="preserve">suurempi yksimielisyys siitä, että alusten tulisi </w:t>
      </w:r>
      <w:r>
        <w:t xml:space="preserve">kasvavassa määrin </w:t>
      </w:r>
      <w:r w:rsidRPr="009A287C">
        <w:t>ottaa käyttöön yhteentoimivaa verkko</w:t>
      </w:r>
      <w:r w:rsidRPr="009A287C">
        <w:t xml:space="preserve">teknologiaa yhdistääkseen aluksella olevat </w:t>
      </w:r>
      <w:r w:rsidRPr="009A287C" w:rsidR="009A287C">
        <w:t>laitteet</w:t>
      </w:r>
      <w:r w:rsidRPr="009A287C">
        <w:t>, navigointi, lastinkäsittely ja muut järjestelmät</w:t>
      </w:r>
      <w:r>
        <w:t>.</w:t>
      </w:r>
      <w:r w:rsidRPr="009A287C">
        <w:t xml:space="preserve"> </w:t>
      </w:r>
      <w:r>
        <w:t xml:space="preserve">Tällainen teknologia vähentää </w:t>
      </w:r>
      <w:r w:rsidRPr="009A287C">
        <w:t>polttoaineen kulutu</w:t>
      </w:r>
      <w:r>
        <w:t>sta</w:t>
      </w:r>
      <w:r w:rsidRPr="009A287C" w:rsidR="009A287C">
        <w:t xml:space="preserve"> ja on</w:t>
      </w:r>
      <w:r w:rsidRPr="009A287C">
        <w:t xml:space="preserve"> tärkeä askel </w:t>
      </w:r>
      <w:r w:rsidRPr="009A287C" w:rsidR="009A287C">
        <w:t xml:space="preserve">matkalla </w:t>
      </w:r>
      <w:r w:rsidRPr="009A287C">
        <w:t xml:space="preserve">kohti </w:t>
      </w:r>
      <w:r w:rsidRPr="009A287C" w:rsidR="009A287C">
        <w:t>hiilineutraaliutta</w:t>
      </w:r>
      <w:r w:rsidRPr="009A287C">
        <w:t xml:space="preserve"> ja </w:t>
      </w:r>
      <w:r w:rsidR="009A287C">
        <w:t>korkeampaa</w:t>
      </w:r>
      <w:r w:rsidRPr="009A287C" w:rsidR="009A287C">
        <w:t xml:space="preserve"> tehokkuutta</w:t>
      </w:r>
      <w:r w:rsidRPr="009A287C">
        <w:t>.</w:t>
      </w:r>
    </w:p>
    <w:p w:rsidR="007D550D" w:rsidRPr="005E04A2" w:rsidP="00B825B0">
      <w:pPr>
        <w:pStyle w:val="WHeading4"/>
      </w:pPr>
      <w:r w:rsidRPr="005E04A2">
        <w:t>Energiamarkkinat</w:t>
      </w:r>
    </w:p>
    <w:p w:rsidR="00190D87" w:rsidP="00B825B0">
      <w:pPr>
        <w:pStyle w:val="WNormal"/>
      </w:pPr>
      <w:bookmarkStart w:id="6" w:name="_Hlk21443952"/>
      <w:r w:rsidRPr="00190D87">
        <w:t>Kor</w:t>
      </w:r>
      <w:r w:rsidRPr="00190D87">
        <w:t xml:space="preserve">onaviruspandemialla ja sitä seuranneella taloudellisen toiminnan hidastumisella oli negatiivinen vaikutus maailmanlaajuisiin kaasulla ja nestemäisillä polttoaineilla käyvien voimalaitosten markkinoihin koko vuoden 2020 ajan. Vaikka markkinatilanne on </w:t>
      </w:r>
      <w:r w:rsidRPr="00190D87" w:rsidR="00993A6C">
        <w:t xml:space="preserve">tasaantunut </w:t>
      </w:r>
      <w:r w:rsidRPr="00190D87">
        <w:t>ja vaikuttaa jossain määrin paranevan, vallitseva epävarmuus pandemian kestosta, kehityksestä ja taloudellisista vaikutuksista saa asiakkaat edelleen lykkäämään investointeja uuteen voimalaitoskapasiteettiin.</w:t>
      </w:r>
      <w:r>
        <w:t xml:space="preserve"> L</w:t>
      </w:r>
      <w:r w:rsidRPr="00190D87">
        <w:t>isäksi energiapolitiik</w:t>
      </w:r>
      <w:r>
        <w:t>an</w:t>
      </w:r>
      <w:r w:rsidRPr="00190D87">
        <w:t xml:space="preserve"> kehit</w:t>
      </w:r>
      <w:r>
        <w:t>täminen</w:t>
      </w:r>
      <w:r w:rsidRPr="00190D87">
        <w:t xml:space="preserve"> kunnianhimoisten hiili</w:t>
      </w:r>
      <w:r>
        <w:t>neutraalius</w:t>
      </w:r>
      <w:r w:rsidRPr="00190D87">
        <w:t>tavoitteiden saavuttamiseksi ja julkis</w:t>
      </w:r>
      <w:r>
        <w:t>ten</w:t>
      </w:r>
      <w:r w:rsidRPr="00190D87">
        <w:t xml:space="preserve"> laito</w:t>
      </w:r>
      <w:r>
        <w:t>sten yhä jatkuva</w:t>
      </w:r>
      <w:r w:rsidRPr="00190D87">
        <w:t xml:space="preserve"> investointistrategioiden päivit</w:t>
      </w:r>
      <w:r>
        <w:t>ystyö</w:t>
      </w:r>
      <w:r w:rsidRPr="00190D87">
        <w:t xml:space="preserve"> aiheutta</w:t>
      </w:r>
      <w:r>
        <w:t>vat</w:t>
      </w:r>
      <w:r w:rsidRPr="00190D87">
        <w:t xml:space="preserve"> epävarmuutta ja viivästyksiä päätöksenteossa. Energian varastoin</w:t>
      </w:r>
      <w:r>
        <w:t>nin kysyntä</w:t>
      </w:r>
      <w:r w:rsidRPr="00190D87">
        <w:t xml:space="preserve"> oli</w:t>
      </w:r>
      <w:r>
        <w:t xml:space="preserve"> kuitenkin</w:t>
      </w:r>
      <w:r w:rsidRPr="00190D87">
        <w:t xml:space="preserve"> hyvällä taso</w:t>
      </w:r>
      <w:r w:rsidRPr="00190D87">
        <w:t xml:space="preserve">lla johtuen </w:t>
      </w:r>
      <w:r>
        <w:t>kasvavasta</w:t>
      </w:r>
      <w:r w:rsidRPr="00190D87">
        <w:t xml:space="preserve"> lyhytaikaisen joustavan kapasiteetin tarpeesta sähköjärjestelmissä, joissa uusiutuvien energialähteiden osuus on </w:t>
      </w:r>
      <w:r w:rsidRPr="00305087">
        <w:t>suuri</w:t>
      </w:r>
      <w:r w:rsidRPr="00190D87">
        <w:t xml:space="preserve">. Vaikka </w:t>
      </w:r>
      <w:r>
        <w:t>liikkumis</w:t>
      </w:r>
      <w:r w:rsidRPr="00190D87">
        <w:t xml:space="preserve">rajoitukset </w:t>
      </w:r>
      <w:r w:rsidR="0081754C">
        <w:t>vaikeuttivat</w:t>
      </w:r>
      <w:r w:rsidRPr="00190D87">
        <w:t xml:space="preserve"> palvelutoimintaa, palvelu</w:t>
      </w:r>
      <w:r w:rsidR="0081754C">
        <w:t>id</w:t>
      </w:r>
      <w:r w:rsidRPr="00190D87">
        <w:t>en kysyntä pysyi kohtuullisen hyv</w:t>
      </w:r>
      <w:r w:rsidR="0081754C">
        <w:t>ällä tasolla,</w:t>
      </w:r>
      <w:r w:rsidRPr="00190D87">
        <w:t xml:space="preserve"> ja asiakkaat osoittivat edelleen kiinnostusta pitkäaikaisi</w:t>
      </w:r>
      <w:r w:rsidR="0081754C">
        <w:t>a</w:t>
      </w:r>
      <w:r w:rsidRPr="00190D87">
        <w:t xml:space="preserve"> palvelusopimuksi</w:t>
      </w:r>
      <w:r w:rsidR="0081754C">
        <w:t>a kohtaan</w:t>
      </w:r>
      <w:r w:rsidRPr="00190D87">
        <w:t>.</w:t>
      </w:r>
      <w:r w:rsidRPr="00190D87" w:rsidR="00993A6C">
        <w:t xml:space="preserve"> </w:t>
      </w:r>
    </w:p>
    <w:p w:rsidR="00F015E9" w:rsidRPr="0081754C" w:rsidP="00B825B0">
      <w:pPr>
        <w:pStyle w:val="WNormal"/>
      </w:pPr>
      <w:bookmarkEnd w:id="6"/>
      <w:r w:rsidRPr="0081754C">
        <w:t xml:space="preserve">Wärtsilän osuus enintään 500 MW:n laitosten markkinasegmentistä </w:t>
      </w:r>
      <w:r w:rsidRPr="0081754C" w:rsidR="0081754C">
        <w:t>oli vakaa</w:t>
      </w:r>
      <w:r w:rsidRPr="0081754C">
        <w:t xml:space="preserve"> 9</w:t>
      </w:r>
      <w:r w:rsidRPr="0081754C" w:rsidR="0081754C">
        <w:t>%</w:t>
      </w:r>
      <w:r w:rsidRPr="0081754C">
        <w:t xml:space="preserve"> (</w:t>
      </w:r>
      <w:r w:rsidRPr="0081754C" w:rsidR="0081754C">
        <w:t>9</w:t>
      </w:r>
      <w:r w:rsidRPr="0081754C">
        <w:t xml:space="preserve">) samalla, kun maailmanlaajuiset maakaasu- ja nestevoimalaitosten tilaukset </w:t>
      </w:r>
      <w:r w:rsidRPr="0081754C" w:rsidR="0081754C">
        <w:t>kasvoivat</w:t>
      </w:r>
      <w:r w:rsidRPr="0081754C">
        <w:t xml:space="preserve"> </w:t>
      </w:r>
      <w:r w:rsidRPr="0081754C" w:rsidR="0081754C">
        <w:t>3</w:t>
      </w:r>
      <w:r w:rsidRPr="0081754C">
        <w:t>% 16,</w:t>
      </w:r>
      <w:r w:rsidRPr="0081754C" w:rsidR="0081754C">
        <w:t>6</w:t>
      </w:r>
      <w:r w:rsidRPr="0081754C">
        <w:t xml:space="preserve"> gigawattiin </w:t>
      </w:r>
      <w:r w:rsidRPr="0081754C" w:rsidR="0081754C">
        <w:t>syys</w:t>
      </w:r>
      <w:r w:rsidRPr="0081754C">
        <w:t>kuussa 2020 päättyneellä 12 kuukauden ajanjaksolla (1</w:t>
      </w:r>
      <w:r w:rsidRPr="0081754C" w:rsidR="0081754C">
        <w:t>6</w:t>
      </w:r>
      <w:r w:rsidRPr="0081754C">
        <w:t>,</w:t>
      </w:r>
      <w:r w:rsidRPr="0081754C" w:rsidR="0081754C">
        <w:t>0</w:t>
      </w:r>
      <w:r w:rsidRPr="0081754C">
        <w:t xml:space="preserve"> GW </w:t>
      </w:r>
      <w:r w:rsidRPr="0081754C" w:rsidR="0081754C">
        <w:t>kesä</w:t>
      </w:r>
      <w:r w:rsidRPr="0081754C">
        <w:t>kuun lopussa). Tilausmäärä sisältää kaasuturbiinit ja Wärtsilän toimitukset, joissa voimakone on kooltaan vähintään 5 MW. Tiedot ovat peräisin McCoy Power Report - julka</w:t>
      </w:r>
      <w:r w:rsidRPr="0081754C">
        <w:t>isusta.</w:t>
      </w:r>
    </w:p>
    <w:p w:rsidR="00E349CA" w:rsidRPr="00E349CA" w:rsidP="006D4E54" w14:paraId="20D2F816" w14:textId="77777777">
      <w:pPr>
        <w:pStyle w:val="WHeading3"/>
      </w:pPr>
      <w:bookmarkStart w:id="7" w:name="RG_MARKER_4938"/>
      <w:r>
        <w:t>Tilauskertymä ja tilauskanta</w:t>
      </w:r>
      <w:bookmarkEnd w:id="7"/>
    </w:p>
    <w:p w:rsidR="00D037C2" w:rsidP="00D037C2" w14:paraId="58843237" w14:textId="77777777">
      <w:pPr>
        <w:pStyle w:val="WNormal"/>
      </w:pPr>
      <w:r>
        <w:t xml:space="preserve">Wärtsilän tilauskertymä </w:t>
      </w:r>
      <w:r w:rsidR="00BC0EE0">
        <w:t xml:space="preserve">vuonna </w:t>
      </w:r>
      <w:r w:rsidRPr="006D4E54">
        <w:t>2020</w:t>
      </w:r>
      <w:r>
        <w:t xml:space="preserve"> </w:t>
      </w:r>
      <w:r>
        <w:t>laski 18% 4 359 miljoonaan euroon</w:t>
      </w:r>
      <w:r>
        <w:t xml:space="preserve"> (</w:t>
      </w:r>
      <w:r>
        <w:t>5 327</w:t>
      </w:r>
      <w:r>
        <w:t xml:space="preserve">) edellisvuoteen nähden. </w:t>
      </w:r>
      <w:r w:rsidRPr="00442340">
        <w:t xml:space="preserve">Koronaviruspandemiaan ja sen pitkäaikaisvaikutuksiin liittyvä epävarmuus heikensi </w:t>
      </w:r>
      <w:r w:rsidRPr="00442340">
        <w:t>kysyntää kaikissa liiketoiminnoissa.</w:t>
      </w:r>
      <w:r w:rsidRPr="00D037C2">
        <w:rPr>
          <w:color w:val="FF0000"/>
        </w:rPr>
        <w:t xml:space="preserve"> </w:t>
      </w:r>
      <w:r>
        <w:t xml:space="preserve">Tilaus-laskutussuhde oli </w:t>
      </w:r>
      <w:r>
        <w:t>0,95</w:t>
      </w:r>
      <w:r>
        <w:t xml:space="preserve"> (</w:t>
      </w:r>
      <w:r>
        <w:t>1,03</w:t>
      </w:r>
      <w:r>
        <w:t xml:space="preserve">). Palveluiden tilauskertymä </w:t>
      </w:r>
      <w:r>
        <w:t>laski 16% 2 267 miljoonaan euroon</w:t>
      </w:r>
      <w:r>
        <w:t xml:space="preserve"> (</w:t>
      </w:r>
      <w:r>
        <w:t>2 683</w:t>
      </w:r>
      <w:r>
        <w:t xml:space="preserve">), kun taas laitteiden tilauskertymä </w:t>
      </w:r>
      <w:r>
        <w:t>laski 21% 2 091 miljoonaan euroon</w:t>
      </w:r>
      <w:r>
        <w:t xml:space="preserve"> (</w:t>
      </w:r>
      <w:r>
        <w:t>2 644</w:t>
      </w:r>
      <w:r>
        <w:t>).</w:t>
      </w:r>
    </w:p>
    <w:p w:rsidR="000C6E13" w:rsidRPr="00D037C2" w:rsidP="00D037C2" w14:paraId="62875A18" w14:textId="2B785E0F">
      <w:pPr>
        <w:pStyle w:val="WNormal"/>
      </w:pPr>
      <w:r>
        <w:t xml:space="preserve">Vuoden lopun tilauskanta </w:t>
      </w:r>
      <w:r>
        <w:t>laski 14% 5 057 miljoonaan euroon</w:t>
      </w:r>
      <w:r>
        <w:t xml:space="preserve"> (</w:t>
      </w:r>
      <w:r>
        <w:t>5 878</w:t>
      </w:r>
      <w:r>
        <w:t>). Tilausten peruutukset olivat vuoden aikana pitkälti normaalilla, alhaisella tasolla. Wärtsilä on kiri</w:t>
      </w:r>
      <w:r>
        <w:t xml:space="preserve">stänyt uusien ja olemassa olevien projektien tilauskannassa esittämisen edellytyksiä. Tämän seurauksena yhteisarvoltaan noin 340 miljoonan euron tilaukset poistettiin tilauskannasta vuoden aikana johtuen pääasiassa projektien puutteellisesta edistymisestä </w:t>
      </w:r>
      <w:r>
        <w:t xml:space="preserve">tai saamatta jääneistä maksuista sekä joistakin peruutuksista. Wärtsilän tämänhetkisestä tilauskannasta on määrä toimittaa vuoden 2021 aikana </w:t>
      </w:r>
      <w:r>
        <w:rPr>
          <w:rFonts w:ascii="Helvetica" w:hAnsi="Helvetica" w:cs="Helvetica"/>
          <w:color w:val="212529"/>
        </w:rPr>
        <w:t xml:space="preserve">3 298 </w:t>
      </w:r>
      <w:r>
        <w:t>miljoonaa euroa (</w:t>
      </w:r>
      <w:r>
        <w:rPr>
          <w:rFonts w:ascii="Helvetica" w:hAnsi="Helvetica" w:cs="Helvetica"/>
          <w:color w:val="212529"/>
        </w:rPr>
        <w:t>3 571</w:t>
      </w:r>
      <w:r>
        <w:t>).</w:t>
      </w:r>
    </w:p>
    <w:p w:rsidR="00F714BD" w:rsidRPr="008E4331" w:rsidP="00792914" w14:paraId="724389EC" w14:textId="77777777">
      <w:pPr>
        <w:pStyle w:val="WHeading3"/>
      </w:pPr>
      <w:r w:rsidRPr="009631F8">
        <w:rPr>
          <w:noProof/>
          <w:color w:val="111111"/>
        </w:rPr>
        <mc:AlternateContent>
          <mc:Choice Requires="wps">
            <w:drawing>
              <wp:anchor distT="45720" distB="45720" distL="114300" distR="114300" simplePos="0" relativeHeight="251661312" behindDoc="0" locked="0" layoutInCell="1" allowOverlap="1">
                <wp:simplePos x="0" y="0"/>
                <wp:positionH relativeFrom="rightMargin">
                  <wp:posOffset>-6483985</wp:posOffset>
                </wp:positionH>
                <wp:positionV relativeFrom="bottomMargin">
                  <wp:posOffset>-5640705</wp:posOffset>
                </wp:positionV>
                <wp:extent cx="3300730" cy="5866130"/>
                <wp:effectExtent l="0" t="0" r="0" b="1270"/>
                <wp:wrapSquare wrapText="bothSides"/>
                <wp:docPr id="847923911"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300730" cy="5866130"/>
                        </a:xfrm>
                        <a:prstGeom prst="rect">
                          <a:avLst/>
                        </a:prstGeom>
                        <a:solidFill>
                          <a:srgbClr val="FFFFFF"/>
                        </a:solidFill>
                        <a:ln w="9525">
                          <a:noFill/>
                          <a:miter lim="800000"/>
                          <a:headEnd/>
                          <a:tailEnd/>
                        </a:ln>
                      </wps:spPr>
                      <wps:txbx>
                        <w:txbxContent>
                          <w:tbl>
                            <w:tblPr>
                              <w:tblStyle w:val="TableGrid"/>
                              <w:tblW w:w="48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860"/>
                            </w:tblGrid>
                            <w:tr w14:paraId="59F06F32" w14:textId="77777777" w:rsidTr="00190B43">
                              <w:tblPrEx>
                                <w:tblW w:w="48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3243"/>
                              </w:trPr>
                              <w:tc>
                                <w:tcPr>
                                  <w:tcW w:w="4860" w:type="dxa"/>
                                  <w:tcMar>
                                    <w:top w:w="0" w:type="dxa"/>
                                    <w:left w:w="0" w:type="dxa"/>
                                    <w:bottom w:w="0" w:type="dxa"/>
                                    <w:right w:w="0" w:type="dxa"/>
                                  </w:tcMar>
                                </w:tcPr>
                                <w:p w:rsidR="00091BE3" w:rsidRPr="00E95B43" w:rsidP="007D4F28" w14:textId="77777777">
                                  <w:pPr>
                                    <w:pStyle w:val="Subtitle"/>
                                  </w:pPr>
                                  <w:r w:rsidRPr="00531D73">
                                    <w:t xml:space="preserve">Konsernin </w:t>
                                  </w:r>
                                  <w:r w:rsidRPr="007D4F28">
                                    <w:t>liikevaihdon</w:t>
                                  </w:r>
                                  <w:r w:rsidRPr="00531D73">
                                    <w:t xml:space="preserve"> kehitys</w:t>
                                  </w:r>
                                </w:p>
                                <w:p w:rsidR="00091BE3" w:rsidRPr="00372D5D" w:rsidP="00531D73" w14:textId="77777777">
                                  <w:pPr>
                                    <w:pStyle w:val="Normal1"/>
                                    <w:rPr>
                                      <w:b/>
                                      <w:bCs/>
                                      <w:color w:val="FF7321"/>
                                    </w:rPr>
                                  </w:pPr>
                                  <w:r>
                                    <w:drawing>
                                      <wp:inline>
                                        <wp:extent cx="3025688" cy="1620000"/>
                                        <wp:docPr id="2143442573" name="Chart_Group net sales devel"/>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c>
                            </w:tr>
                            <w:tr w14:paraId="03E64574" w14:textId="77777777" w:rsidTr="00190B43">
                              <w:tblPrEx>
                                <w:tblW w:w="4860" w:type="dxa"/>
                                <w:tblInd w:w="-5" w:type="dxa"/>
                                <w:tblCellMar>
                                  <w:left w:w="0" w:type="dxa"/>
                                  <w:right w:w="0" w:type="dxa"/>
                                </w:tblCellMar>
                                <w:tblLook w:val="04A0"/>
                              </w:tblPrEx>
                              <w:trPr>
                                <w:trHeight w:val="3864"/>
                              </w:trPr>
                              <w:tc>
                                <w:tcPr>
                                  <w:tcW w:w="4860" w:type="dxa"/>
                                  <w:tcMar>
                                    <w:top w:w="0" w:type="dxa"/>
                                    <w:left w:w="0" w:type="dxa"/>
                                    <w:bottom w:w="0" w:type="dxa"/>
                                    <w:right w:w="0" w:type="dxa"/>
                                  </w:tcMar>
                                </w:tcPr>
                                <w:p w:rsidR="00091BE3" w:rsidRPr="00531D73" w:rsidP="00091BE3" w14:textId="77777777">
                                  <w:pPr>
                                    <w:pStyle w:val="Subtitle"/>
                                  </w:pPr>
                                  <w:r w:rsidRPr="00531D73">
                                    <w:t xml:space="preserve">Tulos </w:t>
                                  </w:r>
                                </w:p>
                                <w:p w:rsidR="00091BE3" w:rsidRPr="00F6271E" w:rsidP="00091BE3" w14:textId="77777777">
                                  <w:pPr>
                                    <w:pStyle w:val="Subtitle"/>
                                    <w:rPr>
                                      <w:lang w:val="en-GB"/>
                                    </w:rPr>
                                  </w:pPr>
                                  <w:r>
                                    <w:drawing>
                                      <wp:inline>
                                        <wp:extent cx="3025688" cy="1980000"/>
                                        <wp:docPr id="2143442574" name="Chart_Result"/>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r w14:paraId="363A6ECB" w14:textId="77777777" w:rsidTr="00D47A22">
                              <w:tblPrEx>
                                <w:tblW w:w="4860" w:type="dxa"/>
                                <w:tblInd w:w="-5" w:type="dxa"/>
                                <w:tblCellMar>
                                  <w:left w:w="0" w:type="dxa"/>
                                  <w:right w:w="0" w:type="dxa"/>
                                </w:tblCellMar>
                                <w:tblLook w:val="04A0"/>
                              </w:tblPrEx>
                              <w:trPr>
                                <w:trHeight w:val="1694"/>
                              </w:trPr>
                              <w:tc>
                                <w:tcPr>
                                  <w:tcW w:w="4860" w:type="dxa"/>
                                </w:tcPr>
                                <w:p w:rsidR="005545D2" w:rsidRPr="00F6271E" w:rsidP="007D4F28" w14:textId="77777777">
                                  <w:pPr>
                                    <w:pStyle w:val="Subtitle"/>
                                    <w:rPr>
                                      <w:lang w:val="en-GB"/>
                                    </w:rPr>
                                  </w:pPr>
                                  <w:r w:rsidRPr="00F6271E">
                                    <w:rPr>
                                      <w:lang w:val="en-GB"/>
                                    </w:rPr>
                                    <w:t>Toimitetut megawatit</w:t>
                                  </w:r>
                                </w:p>
                                <w:tbl>
                                  <w:tblPr>
                                    <w:tblStyle w:val="TableNormal"/>
                                    <w:tblCaption w:val="Table_Megawatts_delivered_FI"/>
                                    <w:tblW w:w="4590" w:type="dxa"/>
                                    <w:tblLook w:val="0600"/>
                                  </w:tblPr>
                                  <w:tblGrid>
                                    <w:gridCol w:w="2385"/>
                                    <w:gridCol w:w="735"/>
                                    <w:gridCol w:w="735"/>
                                    <w:gridCol w:w="735"/>
                                  </w:tblGrid>
                                  <w:tr>
                                    <w:tblPrEx>
                                      <w:tblW w:w="4590" w:type="dxa"/>
                                      <w:tblLook w:val="0600"/>
                                    </w:tblPrEx>
                                    <w:trPr>
                                      <w:trHeight w:hRule="exact" w:val="253"/>
                                    </w:trPr>
                                    <w:tc>
                                      <w:tcPr>
                                        <w:tcW w:w="2385"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5"/>
                                            <w:u w:val="none"/>
                                            <w:vertAlign w:val="baseline"/>
                                          </w:rPr>
                                        </w:pP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2020</w:t>
                                        </w: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2019</w:t>
                                        </w: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Muutos</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238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Marine Power</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1 257</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1 505</w:t>
                                        </w:r>
                                      </w:p>
                                    </w:tc>
                                    <w:tc>
                                      <w:tcPr>
                                        <w:tcW w:w="735" w:type="dxa"/>
                                        <w:tcBorders>
                                          <w:top w:val="single" w:sz="8" w:space="0" w:color="000000"/>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-16%</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2385" w:type="dxa"/>
                                        <w:tcBorders>
                                          <w:top w:val="single" w:sz="4" w:space="0" w:color="004B6B"/>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Energy</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1 172</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2 072</w:t>
                                        </w:r>
                                      </w:p>
                                    </w:tc>
                                    <w:tc>
                                      <w:tcPr>
                                        <w:tcW w:w="735" w:type="dxa"/>
                                        <w:tcBorders>
                                          <w:top w:val="single" w:sz="4" w:space="0" w:color="000000"/>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238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Wärtsilän toimitukset yhteensä</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2 429</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3 577</w:t>
                                        </w:r>
                                      </w:p>
                                    </w:tc>
                                    <w:tc>
                                      <w:tcPr>
                                        <w:tcW w:w="735" w:type="dxa"/>
                                        <w:tcBorders>
                                          <w:top w:val="single" w:sz="8" w:space="0" w:color="000000"/>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-32%</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3"/>
                                    </w:trPr>
                                    <w:tc>
                                      <w:tcPr>
                                        <w:tcW w:w="2385" w:type="dxa"/>
                                        <w:tcBorders>
                                          <w:top w:val="single" w:sz="4" w:space="0" w:color="004B6B"/>
                                          <w:left w:val="nil"/>
                                          <w:bottom w:val="single" w:sz="8" w:space="0" w:color="000000"/>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Yhteisyritysten toimitukset</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274</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432</w:t>
                                        </w:r>
                                      </w:p>
                                    </w:tc>
                                    <w:tc>
                                      <w:tcPr>
                                        <w:tcW w:w="735" w:type="dxa"/>
                                        <w:tcBorders>
                                          <w:top w:val="single" w:sz="4" w:space="0" w:color="000000"/>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-37%</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3"/>
                                    </w:trPr>
                                    <w:tc>
                                      <w:tcPr>
                                        <w:tcW w:w="2385" w:type="dxa"/>
                                        <w:tcBorders>
                                          <w:top w:val="single" w:sz="8" w:space="0" w:color="000000"/>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Toimitukset yhteensä</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2 703</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4 009</w:t>
                                        </w:r>
                                      </w:p>
                                    </w:tc>
                                    <w:tc>
                                      <w:tcPr>
                                        <w:tcW w:w="735" w:type="dxa"/>
                                        <w:tcBorders>
                                          <w:top w:val="single" w:sz="8" w:space="0" w:color="000000"/>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-33%</w:t>
                                        </w:r>
                                      </w:p>
                                    </w:tc>
                                  </w:tr>
                                </w:tbl>
                                <w:p/>
                              </w:tc>
                            </w:tr>
                          </w:tbl>
                          <w:p w:rsidR="00D46C68" w:rsidP="005545D2" w14:textId="77777777"/>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2" o:spid="_x0000_s1026" type="#_x0000_t202" style="width:259.9pt;height:461.9pt;margin-top:-444.15pt;margin-left:-510.55pt;mso-height-percent:0;mso-height-relative:margin;mso-position-horizontal-relative:right-margin-area;mso-position-vertical-relative:bottom-margin-area;mso-width-percent:0;mso-width-relative:margin;mso-wrap-distance-bottom:3.6pt;mso-wrap-distance-left:9pt;mso-wrap-distance-right:9pt;mso-wrap-distance-top:3.6pt;position:absolute;v-text-anchor:top;z-index:251660288" fillcolor="white" stroked="f" strokeweight="0.75pt">
                <v:textbox>
                  <w:txbxContent>
                    <w:tbl>
                      <w:tblPr>
                        <w:tblStyle w:val="TableGrid"/>
                        <w:tblW w:w="48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860"/>
                      </w:tblGrid>
                      <w:tr w14:paraId="59F06F32" w14:textId="77777777" w:rsidTr="00190B43">
                        <w:tblPrEx>
                          <w:tblW w:w="486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3243"/>
                        </w:trPr>
                        <w:tc>
                          <w:tcPr>
                            <w:tcW w:w="4860" w:type="dxa"/>
                            <w:tcMar>
                              <w:top w:w="0" w:type="dxa"/>
                              <w:left w:w="0" w:type="dxa"/>
                              <w:bottom w:w="0" w:type="dxa"/>
                              <w:right w:w="0" w:type="dxa"/>
                            </w:tcMar>
                          </w:tcPr>
                          <w:p w:rsidR="00091BE3" w:rsidRPr="00E95B43" w:rsidP="007D4F28" w14:textId="77777777">
                            <w:pPr>
                              <w:pStyle w:val="Subtitle"/>
                            </w:pPr>
                            <w:r w:rsidRPr="00531D73">
                              <w:t xml:space="preserve">Konsernin </w:t>
                            </w:r>
                            <w:r w:rsidRPr="007D4F28">
                              <w:t>liikevaihdon</w:t>
                            </w:r>
                            <w:r w:rsidRPr="00531D73">
                              <w:t xml:space="preserve"> kehitys</w:t>
                            </w:r>
                          </w:p>
                          <w:p w:rsidR="00091BE3" w:rsidRPr="00372D5D" w:rsidP="00531D73" w14:textId="77777777">
                            <w:pPr>
                              <w:pStyle w:val="Normal1"/>
                              <w:rPr>
                                <w:b/>
                                <w:bCs/>
                                <w:color w:val="FF7321"/>
                              </w:rPr>
                            </w:pPr>
                            <w:drawing>
                              <wp:inline>
                                <wp:extent cx="3025688" cy="1620000"/>
                                <wp:docPr id="100008" name="[PlaceholderChartForReportGeneration-0d747443-b2be-43ad-acc2-6b665d5e37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227734" name=""/>
                                        <pic:cNvPicPr>
                                          <a:picLocks noChangeAspect="1"/>
                                        </pic:cNvPicPr>
                                      </pic:nvPicPr>
                                      <pic:blipFill>
                                        <a:blip xmlns:r="http://schemas.openxmlformats.org/officeDocument/2006/relationships" r:embed="rId9"/>
                                        <a:stretch>
                                          <a:fillRect/>
                                        </a:stretch>
                                      </pic:blipFill>
                                      <pic:spPr>
                                        <a:xfrm>
                                          <a:off x="0" y="0"/>
                                          <a:ext cx="3025688" cy="1620000"/>
                                        </a:xfrm>
                                        <a:prstGeom prst="rect">
                                          <a:avLst/>
                                        </a:prstGeom>
                                      </pic:spPr>
                                    </pic:pic>
                                  </a:graphicData>
                                </a:graphic>
                              </wp:inline>
                            </w:drawing>
                          </w:p>
                        </w:tc>
                      </w:tr>
                      <w:tr w14:paraId="03E64574" w14:textId="77777777" w:rsidTr="00190B43">
                        <w:tblPrEx>
                          <w:tblW w:w="4860" w:type="dxa"/>
                          <w:tblInd w:w="-5" w:type="dxa"/>
                          <w:tblCellMar>
                            <w:left w:w="0" w:type="dxa"/>
                            <w:right w:w="0" w:type="dxa"/>
                          </w:tblCellMar>
                          <w:tblLook w:val="04A0"/>
                        </w:tblPrEx>
                        <w:trPr>
                          <w:trHeight w:val="3864"/>
                        </w:trPr>
                        <w:tc>
                          <w:tcPr>
                            <w:tcW w:w="4860" w:type="dxa"/>
                            <w:tcMar>
                              <w:top w:w="0" w:type="dxa"/>
                              <w:left w:w="0" w:type="dxa"/>
                              <w:bottom w:w="0" w:type="dxa"/>
                              <w:right w:w="0" w:type="dxa"/>
                            </w:tcMar>
                          </w:tcPr>
                          <w:p w:rsidR="00091BE3" w:rsidRPr="00531D73" w:rsidP="00091BE3" w14:textId="77777777">
                            <w:pPr>
                              <w:pStyle w:val="Subtitle"/>
                            </w:pPr>
                            <w:r w:rsidRPr="00531D73">
                              <w:t xml:space="preserve">Tulos </w:t>
                            </w:r>
                          </w:p>
                          <w:p w:rsidR="00091BE3" w:rsidRPr="00F6271E" w:rsidP="00091BE3" w14:textId="77777777">
                            <w:pPr>
                              <w:pStyle w:val="Subtitle"/>
                              <w:rPr>
                                <w:lang w:val="en-GB"/>
                              </w:rPr>
                            </w:pPr>
                            <w:drawing>
                              <wp:inline>
                                <wp:extent cx="3025688" cy="1980000"/>
                                <wp:docPr id="100009" name="[PlaceholderChartForReportGeneration-ea70bfc8-fd80-4bc5-be05-9fc520cb489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432481" name=""/>
                                        <pic:cNvPicPr>
                                          <a:picLocks noChangeAspect="1"/>
                                        </pic:cNvPicPr>
                                      </pic:nvPicPr>
                                      <pic:blipFill>
                                        <a:blip xmlns:r="http://schemas.openxmlformats.org/officeDocument/2006/relationships" r:embed="rId9"/>
                                        <a:stretch>
                                          <a:fillRect/>
                                        </a:stretch>
                                      </pic:blipFill>
                                      <pic:spPr>
                                        <a:xfrm>
                                          <a:off x="0" y="0"/>
                                          <a:ext cx="3025688" cy="1980000"/>
                                        </a:xfrm>
                                        <a:prstGeom prst="rect">
                                          <a:avLst/>
                                        </a:prstGeom>
                                      </pic:spPr>
                                    </pic:pic>
                                  </a:graphicData>
                                </a:graphic>
                              </wp:inline>
                            </w:drawing>
                          </w:p>
                        </w:tc>
                      </w:tr>
                      <w:tr w14:paraId="363A6ECB" w14:textId="77777777" w:rsidTr="00D47A22">
                        <w:tblPrEx>
                          <w:tblW w:w="4860" w:type="dxa"/>
                          <w:tblInd w:w="-5" w:type="dxa"/>
                          <w:tblCellMar>
                            <w:left w:w="0" w:type="dxa"/>
                            <w:right w:w="0" w:type="dxa"/>
                          </w:tblCellMar>
                          <w:tblLook w:val="04A0"/>
                        </w:tblPrEx>
                        <w:trPr>
                          <w:trHeight w:val="1694"/>
                        </w:trPr>
                        <w:tc>
                          <w:tcPr>
                            <w:tcW w:w="4860" w:type="dxa"/>
                          </w:tcPr>
                          <w:p w:rsidR="005545D2" w:rsidRPr="00F6271E" w:rsidP="007D4F28" w14:textId="77777777">
                            <w:pPr>
                              <w:pStyle w:val="Subtitle"/>
                              <w:rPr>
                                <w:lang w:val="en-GB"/>
                              </w:rPr>
                            </w:pPr>
                            <w:r w:rsidRPr="00F6271E">
                              <w:rPr>
                                <w:lang w:val="en-GB"/>
                              </w:rPr>
                              <w:t>Toimitetut megawatit</w:t>
                            </w:r>
                          </w:p>
                          <w:tbl>
                            <w:tblPr>
                              <w:tblStyle w:val="TableNormal"/>
                              <w:tblCaption w:val="Table_Megawatts_delivered_FI"/>
                              <w:tblW w:w="4590" w:type="dxa"/>
                              <w:tblLook w:val="0600"/>
                            </w:tblPr>
                            <w:tblGrid>
                              <w:gridCol w:w="2385"/>
                              <w:gridCol w:w="735"/>
                              <w:gridCol w:w="735"/>
                              <w:gridCol w:w="735"/>
                            </w:tblGrid>
                            <w:tr>
                              <w:tblPrEx>
                                <w:tblW w:w="4590" w:type="dxa"/>
                                <w:tblLook w:val="0600"/>
                              </w:tblPrEx>
                              <w:trPr>
                                <w:trHeight w:hRule="exact" w:val="253"/>
                              </w:trPr>
                              <w:tc>
                                <w:tcPr>
                                  <w:tcW w:w="2385"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5"/>
                                      <w:u w:val="none"/>
                                      <w:vertAlign w:val="baseline"/>
                                    </w:rPr>
                                  </w:pP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2020</w:t>
                                  </w: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2019</w:t>
                                  </w:r>
                                </w:p>
                              </w:tc>
                              <w:tc>
                                <w:tcPr>
                                  <w:tcW w:w="73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5"/>
                                      <w:u w:val="none"/>
                                      <w:vertAlign w:val="baseline"/>
                                    </w:rPr>
                                  </w:pPr>
                                  <w:r>
                                    <w:rPr>
                                      <w:rFonts w:ascii="Arial" w:eastAsia="Arial" w:hAnsi="Arial" w:cs="Arial"/>
                                      <w:b/>
                                      <w:i w:val="0"/>
                                      <w:strike w:val="0"/>
                                      <w:color w:val="000000"/>
                                      <w:sz w:val="15"/>
                                      <w:u w:val="none"/>
                                      <w:vertAlign w:val="baseline"/>
                                    </w:rPr>
                                    <w:t>Muutos</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238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Marine Power</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1 257</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1 505</w:t>
                                  </w:r>
                                </w:p>
                              </w:tc>
                              <w:tc>
                                <w:tcPr>
                                  <w:tcW w:w="735" w:type="dxa"/>
                                  <w:tcBorders>
                                    <w:top w:val="single" w:sz="8" w:space="0" w:color="000000"/>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-16%</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2385" w:type="dxa"/>
                                  <w:tcBorders>
                                    <w:top w:val="single" w:sz="4" w:space="0" w:color="004B6B"/>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Energy</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1 172</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2 072</w:t>
                                  </w:r>
                                </w:p>
                              </w:tc>
                              <w:tc>
                                <w:tcPr>
                                  <w:tcW w:w="735" w:type="dxa"/>
                                  <w:tcBorders>
                                    <w:top w:val="single" w:sz="4" w:space="0" w:color="000000"/>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hRule="exact" w:val="253"/>
                              </w:trPr>
                              <w:tc>
                                <w:tcPr>
                                  <w:tcW w:w="238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Wärtsilän toimitukset yhteensä</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2 429</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3 577</w:t>
                                  </w:r>
                                </w:p>
                              </w:tc>
                              <w:tc>
                                <w:tcPr>
                                  <w:tcW w:w="735" w:type="dxa"/>
                                  <w:tcBorders>
                                    <w:top w:val="single" w:sz="8" w:space="0" w:color="000000"/>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-32%</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3"/>
                              </w:trPr>
                              <w:tc>
                                <w:tcPr>
                                  <w:tcW w:w="2385" w:type="dxa"/>
                                  <w:tcBorders>
                                    <w:top w:val="single" w:sz="4" w:space="0" w:color="004B6B"/>
                                    <w:left w:val="nil"/>
                                    <w:bottom w:val="single" w:sz="8" w:space="0" w:color="000000"/>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Yhteisyritysten toimitukset</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274</w:t>
                                  </w:r>
                                </w:p>
                              </w:tc>
                              <w:tc>
                                <w:tcPr>
                                  <w:tcW w:w="735" w:type="dxa"/>
                                  <w:tcBorders>
                                    <w:top w:val="single" w:sz="4" w:space="0" w:color="004B6B"/>
                                    <w:left w:val="nil"/>
                                    <w:bottom w:val="single" w:sz="8"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432</w:t>
                                  </w:r>
                                </w:p>
                              </w:tc>
                              <w:tc>
                                <w:tcPr>
                                  <w:tcW w:w="735" w:type="dxa"/>
                                  <w:tcBorders>
                                    <w:top w:val="single" w:sz="4" w:space="0" w:color="000000"/>
                                    <w:left w:val="nil"/>
                                    <w:bottom w:val="single" w:sz="8"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-37%</w:t>
                                  </w:r>
                                </w:p>
                              </w:tc>
                            </w:tr>
                            <w:tr>
                              <w:tblPrEx>
                                <w:tblW w:w="4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600"/>
                              </w:tblPrEx>
                              <w:trPr>
                                <w:trHeight w:val="253"/>
                              </w:trPr>
                              <w:tc>
                                <w:tcPr>
                                  <w:tcW w:w="2385" w:type="dxa"/>
                                  <w:tcBorders>
                                    <w:top w:val="single" w:sz="8" w:space="0" w:color="000000"/>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Toimitukset yhteensä</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2 703</w:t>
                                  </w:r>
                                </w:p>
                              </w:tc>
                              <w:tc>
                                <w:tcPr>
                                  <w:tcW w:w="735"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4 009</w:t>
                                  </w:r>
                                </w:p>
                              </w:tc>
                              <w:tc>
                                <w:tcPr>
                                  <w:tcW w:w="735" w:type="dxa"/>
                                  <w:tcBorders>
                                    <w:top w:val="single" w:sz="8" w:space="0" w:color="000000"/>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-33%</w:t>
                                  </w:r>
                                </w:p>
                              </w:tc>
                            </w:tr>
                          </w:tbl>
                          <w:p/>
                        </w:tc>
                      </w:tr>
                    </w:tbl>
                    <w:p w:rsidR="00D46C68" w:rsidP="005545D2" w14:textId="77777777"/>
                  </w:txbxContent>
                </v:textbox>
                <w10:wrap type="square"/>
              </v:shape>
            </w:pict>
          </mc:Fallback>
        </mc:AlternateContent>
      </w:r>
      <w:bookmarkStart w:id="8" w:name="RG_MARKER_3913"/>
      <w:r w:rsidRPr="008E4331">
        <w:t>Liikevaihto ja liiketulos</w:t>
      </w:r>
      <w:bookmarkEnd w:id="8"/>
    </w:p>
    <w:p w:rsidR="00372D5D" w:rsidRPr="00372D5D" w:rsidP="00372D5D" w14:paraId="240F2809" w14:textId="77777777">
      <w:pPr>
        <w:pStyle w:val="WNormal"/>
        <w:rPr>
          <w:color w:val="111111"/>
        </w:rPr>
      </w:pPr>
      <w:r>
        <w:rPr>
          <w:rFonts w:ascii="Times New Roman" w:hAnsi="Times New Roman" w:cs="Times New Roman"/>
          <w:noProof/>
          <w:sz w:val="24"/>
          <w:szCs w:val="24"/>
          <w:lang w:val="en-GB" w:eastAsia="en-GB"/>
        </w:rPr>
        <mc:AlternateContent>
          <mc:Choice Requires="wps">
            <w:drawing>
              <wp:anchor distT="45720" distB="45720" distL="114300" distR="114300" simplePos="0" relativeHeight="251673600" behindDoc="0" locked="0" layoutInCell="1" allowOverlap="1">
                <wp:simplePos x="0" y="0"/>
                <wp:positionH relativeFrom="page">
                  <wp:posOffset>3858895</wp:posOffset>
                </wp:positionH>
                <wp:positionV relativeFrom="page">
                  <wp:posOffset>2932018</wp:posOffset>
                </wp:positionV>
                <wp:extent cx="1536700" cy="184067"/>
                <wp:effectExtent l="0" t="0" r="6350" b="6985"/>
                <wp:wrapNone/>
                <wp:docPr id="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6700" cy="184067"/>
                        </a:xfrm>
                        <a:prstGeom prst="rect">
                          <a:avLst/>
                        </a:prstGeom>
                        <a:solidFill>
                          <a:srgbClr val="FFFFFF"/>
                        </a:solidFill>
                        <a:ln w="9525">
                          <a:noFill/>
                          <a:miter lim="800000"/>
                          <a:headEnd/>
                          <a:tailEnd/>
                        </a:ln>
                      </wps:spPr>
                      <wps:txbx>
                        <w:txbxContent>
                          <w:p w:rsidR="00B44DC3" w:rsidP="00B44DC3" w14:textId="77777777">
                            <w:pPr>
                              <w:rPr>
                                <w:rFonts w:ascii="Arial" w:hAnsi="Arial" w:cs="Arial"/>
                                <w:sz w:val="13"/>
                                <w:szCs w:val="13"/>
                              </w:rPr>
                            </w:pPr>
                            <w:r>
                              <w:rPr>
                                <w:rFonts w:ascii="Arial" w:hAnsi="Arial" w:cs="Arial"/>
                                <w:sz w:val="13"/>
                                <w:szCs w:val="13"/>
                                <w:lang w:val="fi-FI"/>
                              </w:rPr>
                              <w:t>*Oikaistu IFRS 15:n mukaisesti</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2" o:spid="_x0000_s1027" type="#_x0000_t202" style="width:121pt;height:14.49pt;margin-top:230.87pt;margin-left:303.85pt;mso-height-percent:0;mso-height-relative:margin;mso-position-horizontal-relative:page;mso-position-vertical-relative:page;mso-width-percent:0;mso-width-relative:margin;mso-wrap-distance-bottom:3.6pt;mso-wrap-distance-left:9pt;mso-wrap-distance-right:9pt;mso-wrap-distance-top:3.6pt;position:absolute;v-text-anchor:top;z-index:251672576" fillcolor="white" stroked="f" strokeweight="0.75pt">
                <v:textbox>
                  <w:txbxContent>
                    <w:p w:rsidR="00B44DC3" w:rsidP="00B44DC3" w14:paraId="165DC00C" w14:textId="77777777">
                      <w:pPr>
                        <w:rPr>
                          <w:rFonts w:ascii="Arial" w:hAnsi="Arial" w:cs="Arial"/>
                          <w:sz w:val="13"/>
                          <w:szCs w:val="13"/>
                        </w:rPr>
                      </w:pPr>
                      <w:r>
                        <w:rPr>
                          <w:rFonts w:ascii="Arial" w:hAnsi="Arial" w:cs="Arial"/>
                          <w:sz w:val="13"/>
                          <w:szCs w:val="13"/>
                          <w:lang w:val="fi-FI"/>
                        </w:rPr>
                        <w:t>*Oikaistu IFRS 15:n mukaisesti</w:t>
                      </w:r>
                    </w:p>
                  </w:txbxContent>
                </v:textbox>
              </v:shape>
            </w:pict>
          </mc:Fallback>
        </mc:AlternateContent>
      </w:r>
      <w:r w:rsidRPr="00372D5D">
        <w:rPr>
          <w:color w:val="111111"/>
        </w:rPr>
        <w:t xml:space="preserve">Wärtsilän </w:t>
      </w:r>
      <w:r>
        <w:rPr>
          <w:color w:val="111111"/>
        </w:rPr>
        <w:t>l</w:t>
      </w:r>
      <w:r w:rsidRPr="00372D5D">
        <w:rPr>
          <w:color w:val="111111"/>
        </w:rPr>
        <w:t xml:space="preserve">iikevaihto </w:t>
      </w:r>
      <w:r>
        <w:rPr>
          <w:color w:val="111111"/>
        </w:rPr>
        <w:t xml:space="preserve">vuonna </w:t>
      </w:r>
      <w:r w:rsidRPr="00792914">
        <w:t>2020</w:t>
      </w:r>
      <w:r w:rsidRPr="00372D5D">
        <w:rPr>
          <w:color w:val="111111"/>
        </w:rPr>
        <w:t xml:space="preserve"> </w:t>
      </w:r>
      <w:r w:rsidRPr="00372D5D">
        <w:rPr>
          <w:color w:val="111111"/>
        </w:rPr>
        <w:t>laski 11% 4 604 miljoonaan euroon</w:t>
      </w:r>
      <w:r w:rsidRPr="00372D5D">
        <w:rPr>
          <w:color w:val="111111"/>
        </w:rPr>
        <w:t xml:space="preserve"> (</w:t>
      </w:r>
      <w:r w:rsidRPr="00372D5D">
        <w:rPr>
          <w:color w:val="111111"/>
        </w:rPr>
        <w:t>5 170</w:t>
      </w:r>
      <w:r w:rsidRPr="00372D5D">
        <w:rPr>
          <w:color w:val="111111"/>
        </w:rPr>
        <w:t xml:space="preserve">) edellisvuoteen nähden. </w:t>
      </w:r>
      <w:r w:rsidRPr="00372D5D">
        <w:rPr>
          <w:color w:val="111111"/>
          <w:lang w:val="en-GB"/>
        </w:rPr>
        <w:t xml:space="preserve">Palveluiden liikevaihto </w:t>
      </w:r>
      <w:r w:rsidRPr="00372D5D">
        <w:rPr>
          <w:color w:val="111111"/>
          <w:lang w:val="en-GB"/>
        </w:rPr>
        <w:t>laski 10% 2 255 miljoonaan euroon</w:t>
      </w:r>
      <w:r w:rsidRPr="00372D5D">
        <w:rPr>
          <w:color w:val="111111"/>
          <w:lang w:val="en-GB"/>
        </w:rPr>
        <w:t xml:space="preserve"> (</w:t>
      </w:r>
      <w:r w:rsidRPr="00372D5D">
        <w:rPr>
          <w:color w:val="111111"/>
          <w:lang w:val="en-GB"/>
        </w:rPr>
        <w:t>2 505</w:t>
      </w:r>
      <w:r w:rsidRPr="00372D5D">
        <w:rPr>
          <w:color w:val="111111"/>
          <w:lang w:val="en-GB"/>
        </w:rPr>
        <w:t xml:space="preserve">). Laitteiden liikevaihto </w:t>
      </w:r>
      <w:r w:rsidRPr="00372D5D">
        <w:rPr>
          <w:color w:val="111111"/>
          <w:lang w:val="en-GB"/>
        </w:rPr>
        <w:t>laski 12% 2 349 miljoonaan euroon</w:t>
      </w:r>
      <w:r w:rsidRPr="00372D5D">
        <w:rPr>
          <w:color w:val="111111"/>
          <w:lang w:val="en-GB"/>
        </w:rPr>
        <w:t xml:space="preserve"> (</w:t>
      </w:r>
      <w:r w:rsidRPr="00372D5D">
        <w:rPr>
          <w:color w:val="111111"/>
          <w:lang w:val="en-GB"/>
        </w:rPr>
        <w:t>2 665</w:t>
      </w:r>
      <w:r w:rsidRPr="00372D5D">
        <w:rPr>
          <w:color w:val="111111"/>
          <w:lang w:val="en-GB"/>
        </w:rPr>
        <w:t xml:space="preserve">). </w:t>
      </w:r>
      <w:r w:rsidRPr="00372D5D">
        <w:rPr>
          <w:color w:val="111111"/>
        </w:rPr>
        <w:t xml:space="preserve">Wärtsilän liikevaihdosta noin </w:t>
      </w:r>
      <w:r w:rsidRPr="00372D5D">
        <w:rPr>
          <w:color w:val="111111"/>
        </w:rPr>
        <w:t>65</w:t>
      </w:r>
      <w:r w:rsidRPr="00372D5D">
        <w:rPr>
          <w:color w:val="111111"/>
        </w:rPr>
        <w:t xml:space="preserve">% oli euromääräistä ja </w:t>
      </w:r>
      <w:r w:rsidRPr="00372D5D">
        <w:rPr>
          <w:color w:val="111111"/>
        </w:rPr>
        <w:t>20</w:t>
      </w:r>
      <w:r w:rsidRPr="00372D5D">
        <w:rPr>
          <w:color w:val="111111"/>
        </w:rPr>
        <w:t>% Yhdysvaltain dollareissa. Loppuosa liikevaihdosta jakautui usean valuutan kesken.</w:t>
      </w:r>
    </w:p>
    <w:p w:rsidR="00372D5D" w:rsidRPr="00372D5D" w:rsidP="00372D5D" w14:paraId="747F9A23" w14:textId="77777777">
      <w:pPr>
        <w:pStyle w:val="WNormal"/>
        <w:rPr>
          <w:color w:val="111111"/>
        </w:rPr>
      </w:pPr>
      <w:r>
        <w:rPr>
          <w:rFonts w:ascii="Times New Roman" w:hAnsi="Times New Roman" w:cs="Times New Roman"/>
          <w:noProof/>
          <w:sz w:val="24"/>
          <w:szCs w:val="24"/>
          <w:lang w:val="en-GB" w:eastAsia="en-GB"/>
        </w:rPr>
        <mc:AlternateContent>
          <mc:Choice Requires="wps">
            <w:drawing>
              <wp:anchor distT="45720" distB="45720" distL="114300" distR="114300" simplePos="0" relativeHeight="251669504" behindDoc="0" locked="0" layoutInCell="1" allowOverlap="1">
                <wp:simplePos x="0" y="0"/>
                <wp:positionH relativeFrom="page">
                  <wp:posOffset>3858895</wp:posOffset>
                </wp:positionH>
                <wp:positionV relativeFrom="page">
                  <wp:posOffset>5425217</wp:posOffset>
                </wp:positionV>
                <wp:extent cx="1537970" cy="219694"/>
                <wp:effectExtent l="0" t="0" r="5080" b="9525"/>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537970" cy="219694"/>
                        </a:xfrm>
                        <a:prstGeom prst="rect">
                          <a:avLst/>
                        </a:prstGeom>
                        <a:solidFill>
                          <a:srgbClr val="FFFFFF"/>
                        </a:solidFill>
                        <a:ln w="9525">
                          <a:noFill/>
                          <a:miter lim="800000"/>
                          <a:headEnd/>
                          <a:tailEnd/>
                        </a:ln>
                      </wps:spPr>
                      <wps:txbx>
                        <w:txbxContent>
                          <w:p w:rsidR="00B44DC3" w:rsidP="00B44DC3" w14:textId="77777777">
                            <w:pPr>
                              <w:rPr>
                                <w:rFonts w:ascii="Arial" w:hAnsi="Arial" w:cs="Arial"/>
                                <w:sz w:val="13"/>
                                <w:szCs w:val="13"/>
                              </w:rPr>
                            </w:pPr>
                            <w:r>
                              <w:rPr>
                                <w:rFonts w:ascii="Arial" w:hAnsi="Arial" w:cs="Arial"/>
                                <w:sz w:val="13"/>
                                <w:szCs w:val="13"/>
                                <w:lang w:val="fi-FI"/>
                              </w:rPr>
                              <w:t>*Oikaistu IFRS 15:n mukaisesti</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1" o:spid="_x0000_s1028" type="#_x0000_t202" style="width:121.1pt;height:17.3pt;margin-top:427.18pt;margin-left:303.85pt;mso-height-percent:0;mso-height-relative:margin;mso-position-horizontal-relative:page;mso-position-vertical-relative:page;mso-width-percent:0;mso-width-relative:margin;mso-wrap-distance-bottom:3.6pt;mso-wrap-distance-left:9pt;mso-wrap-distance-right:9pt;mso-wrap-distance-top:3.6pt;position:absolute;v-text-anchor:top;z-index:251668480" fillcolor="white" stroked="f" strokeweight="0.75pt">
                <v:textbox>
                  <w:txbxContent>
                    <w:p w:rsidR="00B44DC3" w:rsidP="00B44DC3" w14:paraId="1C75E89D" w14:textId="77777777">
                      <w:pPr>
                        <w:rPr>
                          <w:rFonts w:ascii="Arial" w:hAnsi="Arial" w:cs="Arial"/>
                          <w:sz w:val="13"/>
                          <w:szCs w:val="13"/>
                        </w:rPr>
                      </w:pPr>
                      <w:r>
                        <w:rPr>
                          <w:rFonts w:ascii="Arial" w:hAnsi="Arial" w:cs="Arial"/>
                          <w:sz w:val="13"/>
                          <w:szCs w:val="13"/>
                          <w:lang w:val="fi-FI"/>
                        </w:rPr>
                        <w:t>*Oikaistu IFRS 15:n mukaisesti</w:t>
                      </w:r>
                    </w:p>
                  </w:txbxContent>
                </v:textbox>
              </v:shape>
            </w:pict>
          </mc:Fallback>
        </mc:AlternateContent>
      </w:r>
      <w:r w:rsidRPr="00372D5D">
        <w:rPr>
          <w:color w:val="111111"/>
        </w:rPr>
        <w:t xml:space="preserve">Liiketulos oli </w:t>
      </w:r>
      <w:r w:rsidRPr="00372D5D">
        <w:rPr>
          <w:color w:val="111111"/>
        </w:rPr>
        <w:t>234</w:t>
      </w:r>
      <w:r w:rsidRPr="00372D5D">
        <w:rPr>
          <w:color w:val="111111"/>
        </w:rPr>
        <w:t xml:space="preserve"> miljoonaa euroa (</w:t>
      </w:r>
      <w:r w:rsidRPr="00372D5D">
        <w:rPr>
          <w:color w:val="111111"/>
        </w:rPr>
        <w:t>362</w:t>
      </w:r>
      <w:r w:rsidRPr="00372D5D">
        <w:rPr>
          <w:color w:val="111111"/>
        </w:rPr>
        <w:t xml:space="preserve">) eli </w:t>
      </w:r>
      <w:r w:rsidRPr="00372D5D">
        <w:rPr>
          <w:color w:val="111111"/>
        </w:rPr>
        <w:t>5,1</w:t>
      </w:r>
      <w:r w:rsidRPr="00372D5D">
        <w:rPr>
          <w:color w:val="111111"/>
        </w:rPr>
        <w:t>% liikevaihdosta (</w:t>
      </w:r>
      <w:r w:rsidRPr="00372D5D">
        <w:rPr>
          <w:color w:val="111111"/>
        </w:rPr>
        <w:t>7,0</w:t>
      </w:r>
      <w:r w:rsidRPr="00372D5D">
        <w:rPr>
          <w:color w:val="111111"/>
        </w:rPr>
        <w:t xml:space="preserve">). </w:t>
      </w:r>
      <w:r>
        <w:t>Tulosta rasittivat palveluvolyymien</w:t>
      </w:r>
      <w:r>
        <w:t xml:space="preserve"> lasku, koronaviruksen aiheuttama kustannusten nousu ja kapasiteetin alhaisempi käyttöaste.</w:t>
      </w:r>
      <w:r w:rsidRPr="00372D5D">
        <w:rPr>
          <w:color w:val="FF0000"/>
        </w:rPr>
        <w:t xml:space="preserve"> </w:t>
      </w:r>
      <w:r w:rsidRPr="00372D5D">
        <w:rPr>
          <w:color w:val="111111"/>
        </w:rPr>
        <w:t xml:space="preserve">Vertailukelpoinen liiketulos oli </w:t>
      </w:r>
      <w:r w:rsidRPr="00372D5D">
        <w:rPr>
          <w:color w:val="111111"/>
        </w:rPr>
        <w:t>275</w:t>
      </w:r>
      <w:r w:rsidRPr="00372D5D">
        <w:rPr>
          <w:color w:val="111111"/>
        </w:rPr>
        <w:t xml:space="preserve"> miljoonaa euroa (</w:t>
      </w:r>
      <w:r w:rsidRPr="00372D5D">
        <w:rPr>
          <w:color w:val="111111"/>
        </w:rPr>
        <w:t>457</w:t>
      </w:r>
      <w:r w:rsidRPr="00372D5D">
        <w:rPr>
          <w:color w:val="111111"/>
          <w:lang w:val="en-GB"/>
        </w:rPr>
        <w:t xml:space="preserve">) eli </w:t>
      </w:r>
      <w:r w:rsidRPr="00372D5D">
        <w:rPr>
          <w:color w:val="111111"/>
          <w:lang w:val="en-GB"/>
        </w:rPr>
        <w:t>6,0</w:t>
      </w:r>
      <w:r w:rsidRPr="00372D5D">
        <w:rPr>
          <w:color w:val="111111"/>
          <w:lang w:val="en-GB"/>
        </w:rPr>
        <w:t>% liikevaihdosta (</w:t>
      </w:r>
      <w:r w:rsidRPr="00372D5D">
        <w:rPr>
          <w:color w:val="111111"/>
          <w:lang w:val="en-GB"/>
        </w:rPr>
        <w:t>8,8</w:t>
      </w:r>
      <w:r w:rsidRPr="00372D5D">
        <w:rPr>
          <w:color w:val="111111"/>
        </w:rPr>
        <w:t xml:space="preserve">). Vertailukelpoisuuteen vaikuttaviin eriin sisältyi </w:t>
      </w:r>
      <w:r w:rsidRPr="00372D5D">
        <w:rPr>
          <w:color w:val="111111"/>
        </w:rPr>
        <w:t>41</w:t>
      </w:r>
      <w:r w:rsidRPr="00372D5D">
        <w:rPr>
          <w:color w:val="111111"/>
        </w:rPr>
        <w:t xml:space="preserve"> miljoonaa euroa </w:t>
      </w:r>
      <w:r w:rsidRPr="0013636A">
        <w:rPr>
          <w:color w:val="111111"/>
        </w:rPr>
        <w:t>sekä yritysmyynteihin että rakennejärjestelyihin liittyviä kuluja</w:t>
      </w:r>
      <w:r w:rsidRPr="00372D5D">
        <w:rPr>
          <w:color w:val="FF0000"/>
        </w:rPr>
        <w:t xml:space="preserve"> </w:t>
      </w:r>
      <w:r w:rsidRPr="00372D5D">
        <w:rPr>
          <w:color w:val="111111"/>
        </w:rPr>
        <w:t>(</w:t>
      </w:r>
      <w:r w:rsidRPr="00372D5D">
        <w:rPr>
          <w:color w:val="111111"/>
        </w:rPr>
        <w:t>95</w:t>
      </w:r>
      <w:r w:rsidRPr="00372D5D">
        <w:rPr>
          <w:color w:val="111111"/>
        </w:rPr>
        <w:t>)</w:t>
      </w:r>
      <w:r w:rsidRPr="00372D5D">
        <w:rPr>
          <w:color w:val="111111"/>
        </w:rPr>
        <w:t xml:space="preserve">. Vertailukelpoinen oikaistu EBITA oli </w:t>
      </w:r>
      <w:r w:rsidRPr="00372D5D">
        <w:rPr>
          <w:color w:val="111111"/>
        </w:rPr>
        <w:t>308</w:t>
      </w:r>
      <w:r w:rsidRPr="00372D5D">
        <w:rPr>
          <w:color w:val="111111"/>
        </w:rPr>
        <w:t xml:space="preserve"> miljoonaa euroa (</w:t>
      </w:r>
      <w:r w:rsidRPr="00372D5D">
        <w:rPr>
          <w:color w:val="111111"/>
        </w:rPr>
        <w:t>498</w:t>
      </w:r>
      <w:r w:rsidRPr="00372D5D">
        <w:rPr>
          <w:color w:val="111111"/>
        </w:rPr>
        <w:t xml:space="preserve">) eli </w:t>
      </w:r>
      <w:r w:rsidRPr="00372D5D">
        <w:rPr>
          <w:color w:val="111111"/>
        </w:rPr>
        <w:t>6,7</w:t>
      </w:r>
      <w:r w:rsidRPr="00372D5D">
        <w:rPr>
          <w:color w:val="111111"/>
        </w:rPr>
        <w:t>% liikevaihdosta (</w:t>
      </w:r>
      <w:r w:rsidRPr="00372D5D">
        <w:rPr>
          <w:color w:val="111111"/>
        </w:rPr>
        <w:t>9,6</w:t>
      </w:r>
      <w:r w:rsidRPr="00372D5D">
        <w:rPr>
          <w:color w:val="111111"/>
        </w:rPr>
        <w:t>). Hankintame</w:t>
      </w:r>
      <w:r w:rsidRPr="00372D5D">
        <w:rPr>
          <w:color w:val="111111"/>
        </w:rPr>
        <w:t xml:space="preserve">nojen allokointeihin liittyvät poistot olivat </w:t>
      </w:r>
      <w:r w:rsidRPr="00372D5D">
        <w:rPr>
          <w:color w:val="111111"/>
        </w:rPr>
        <w:t>33</w:t>
      </w:r>
      <w:r w:rsidRPr="00372D5D">
        <w:rPr>
          <w:color w:val="111111"/>
        </w:rPr>
        <w:t xml:space="preserve"> miljoonaa euroa (</w:t>
      </w:r>
      <w:r w:rsidRPr="00372D5D">
        <w:rPr>
          <w:color w:val="111111"/>
        </w:rPr>
        <w:t>41</w:t>
      </w:r>
      <w:r w:rsidRPr="00372D5D">
        <w:rPr>
          <w:color w:val="111111"/>
        </w:rPr>
        <w:t>).</w:t>
      </w:r>
    </w:p>
    <w:p w:rsidR="000C6E13" w:rsidP="00372D5D" w14:paraId="5E492BBF" w14:textId="77777777">
      <w:pPr>
        <w:pStyle w:val="WNormal"/>
        <w:rPr>
          <w:color w:val="111111"/>
        </w:rPr>
      </w:pPr>
      <w:r w:rsidRPr="00372D5D">
        <w:rPr>
          <w:color w:val="111111"/>
        </w:rPr>
        <w:t xml:space="preserve">Rahoituserät olivat yhteensä </w:t>
      </w:r>
      <w:r w:rsidRPr="00372D5D">
        <w:rPr>
          <w:color w:val="111111"/>
        </w:rPr>
        <w:t>-43</w:t>
      </w:r>
      <w:r w:rsidRPr="00372D5D">
        <w:rPr>
          <w:color w:val="111111"/>
        </w:rPr>
        <w:t xml:space="preserve"> miljoonaa euroa (</w:t>
      </w:r>
      <w:r w:rsidRPr="00372D5D">
        <w:rPr>
          <w:color w:val="111111"/>
        </w:rPr>
        <w:t>-47</w:t>
      </w:r>
      <w:r w:rsidRPr="00372D5D">
        <w:rPr>
          <w:color w:val="111111"/>
        </w:rPr>
        <w:t>). Nettoko</w:t>
      </w:r>
      <w:r w:rsidRPr="00372D5D">
        <w:rPr>
          <w:color w:val="111111"/>
        </w:rPr>
        <w:t xml:space="preserve">rot olivat yhteensä </w:t>
      </w:r>
      <w:r w:rsidRPr="00372D5D">
        <w:rPr>
          <w:color w:val="111111"/>
        </w:rPr>
        <w:t>-10</w:t>
      </w:r>
      <w:r w:rsidRPr="00372D5D">
        <w:rPr>
          <w:color w:val="111111"/>
        </w:rPr>
        <w:t xml:space="preserve"> miljoonaa euroa (</w:t>
      </w:r>
      <w:r w:rsidRPr="00372D5D">
        <w:rPr>
          <w:color w:val="111111"/>
        </w:rPr>
        <w:t>-12</w:t>
      </w:r>
      <w:r w:rsidRPr="00372D5D">
        <w:rPr>
          <w:color w:val="111111"/>
        </w:rPr>
        <w:t xml:space="preserve">). Tulos ennen veroja oli </w:t>
      </w:r>
      <w:r w:rsidRPr="00372D5D">
        <w:rPr>
          <w:color w:val="111111"/>
        </w:rPr>
        <w:t>191</w:t>
      </w:r>
      <w:r w:rsidRPr="00372D5D">
        <w:rPr>
          <w:color w:val="111111"/>
        </w:rPr>
        <w:t xml:space="preserve"> miljoonaa euroa (</w:t>
      </w:r>
      <w:r w:rsidRPr="00372D5D">
        <w:rPr>
          <w:color w:val="111111"/>
        </w:rPr>
        <w:t>315</w:t>
      </w:r>
      <w:r w:rsidRPr="00372D5D">
        <w:rPr>
          <w:color w:val="111111"/>
        </w:rPr>
        <w:t>). Verot olivat yh</w:t>
      </w:r>
      <w:r w:rsidRPr="00372D5D">
        <w:rPr>
          <w:color w:val="111111"/>
        </w:rPr>
        <w:t xml:space="preserve">teensä </w:t>
      </w:r>
      <w:r w:rsidRPr="00372D5D">
        <w:rPr>
          <w:color w:val="111111"/>
        </w:rPr>
        <w:t>58</w:t>
      </w:r>
      <w:r w:rsidRPr="00372D5D">
        <w:rPr>
          <w:color w:val="111111"/>
        </w:rPr>
        <w:t xml:space="preserve"> miljoonaa euroa (</w:t>
      </w:r>
      <w:r w:rsidRPr="00372D5D">
        <w:rPr>
          <w:color w:val="111111"/>
        </w:rPr>
        <w:t>97</w:t>
      </w:r>
      <w:r w:rsidRPr="00372D5D">
        <w:rPr>
          <w:color w:val="111111"/>
        </w:rPr>
        <w:t xml:space="preserve">), mikä vastaa </w:t>
      </w:r>
      <w:r w:rsidRPr="00372D5D">
        <w:rPr>
          <w:color w:val="111111"/>
        </w:rPr>
        <w:t>30,3</w:t>
      </w:r>
      <w:r w:rsidRPr="00372D5D">
        <w:rPr>
          <w:color w:val="111111"/>
        </w:rPr>
        <w:t xml:space="preserve"> prosentin efektiivistä verokantaa (</w:t>
      </w:r>
      <w:r w:rsidRPr="00372D5D">
        <w:rPr>
          <w:color w:val="111111"/>
        </w:rPr>
        <w:t>30,7</w:t>
      </w:r>
      <w:r w:rsidRPr="00372D5D">
        <w:rPr>
          <w:color w:val="111111"/>
        </w:rPr>
        <w:t xml:space="preserve">). </w:t>
      </w:r>
      <w:r>
        <w:rPr>
          <w:color w:val="111111"/>
        </w:rPr>
        <w:t>Tilikauden</w:t>
      </w:r>
      <w:r w:rsidRPr="00372D5D">
        <w:rPr>
          <w:color w:val="111111"/>
        </w:rPr>
        <w:t xml:space="preserve"> tulos oli </w:t>
      </w:r>
      <w:r w:rsidRPr="00372D5D">
        <w:rPr>
          <w:color w:val="111111"/>
        </w:rPr>
        <w:t>133</w:t>
      </w:r>
      <w:r w:rsidRPr="00372D5D">
        <w:rPr>
          <w:color w:val="111111"/>
        </w:rPr>
        <w:t xml:space="preserve"> miljoonaa euroa (</w:t>
      </w:r>
      <w:r w:rsidRPr="00372D5D">
        <w:rPr>
          <w:color w:val="111111"/>
        </w:rPr>
        <w:t>218</w:t>
      </w:r>
      <w:r w:rsidRPr="00372D5D">
        <w:rPr>
          <w:color w:val="111111"/>
        </w:rPr>
        <w:t xml:space="preserve">). Osakekohtainen tulos oli </w:t>
      </w:r>
      <w:r w:rsidRPr="00372D5D">
        <w:rPr>
          <w:color w:val="111111"/>
        </w:rPr>
        <w:t>0,23</w:t>
      </w:r>
      <w:r w:rsidRPr="00372D5D">
        <w:rPr>
          <w:color w:val="111111"/>
        </w:rPr>
        <w:t xml:space="preserve"> euroa (</w:t>
      </w:r>
      <w:r w:rsidRPr="00372D5D">
        <w:rPr>
          <w:color w:val="111111"/>
        </w:rPr>
        <w:t>0,37</w:t>
      </w:r>
      <w:r w:rsidRPr="00372D5D">
        <w:rPr>
          <w:color w:val="111111"/>
        </w:rPr>
        <w:t xml:space="preserve">). Sijoitetun pääoman tuotto (ROI) oli </w:t>
      </w:r>
      <w:r w:rsidRPr="00372D5D">
        <w:rPr>
          <w:color w:val="111111"/>
        </w:rPr>
        <w:t>7,1</w:t>
      </w:r>
      <w:r w:rsidRPr="00372D5D">
        <w:rPr>
          <w:color w:val="111111"/>
        </w:rPr>
        <w:t>% (</w:t>
      </w:r>
      <w:r w:rsidRPr="00372D5D">
        <w:rPr>
          <w:color w:val="111111"/>
        </w:rPr>
        <w:t>11,5</w:t>
      </w:r>
      <w:r w:rsidRPr="00372D5D">
        <w:rPr>
          <w:color w:val="111111"/>
        </w:rPr>
        <w:t>) ja oman pääoman tuotto (ROE</w:t>
      </w:r>
      <w:r w:rsidRPr="00372D5D">
        <w:rPr>
          <w:color w:val="111111"/>
        </w:rPr>
        <w:t xml:space="preserve">) </w:t>
      </w:r>
      <w:r w:rsidRPr="00372D5D">
        <w:rPr>
          <w:color w:val="111111"/>
        </w:rPr>
        <w:t>5,8</w:t>
      </w:r>
      <w:r w:rsidRPr="00372D5D">
        <w:rPr>
          <w:color w:val="111111"/>
        </w:rPr>
        <w:t>% (</w:t>
      </w:r>
      <w:r w:rsidRPr="00372D5D">
        <w:rPr>
          <w:color w:val="111111"/>
        </w:rPr>
        <w:t>9,0</w:t>
      </w:r>
      <w:r w:rsidRPr="00372D5D">
        <w:rPr>
          <w:color w:val="111111"/>
        </w:rPr>
        <w:t>).</w:t>
      </w:r>
    </w:p>
    <w:p w:rsidR="001935EE" w:rsidRPr="00531D73" w:rsidP="00642B87" w14:paraId="3820221E" w14:textId="77777777">
      <w:pPr>
        <w:pStyle w:val="WNormal"/>
        <w:spacing w:after="0" w:line="20" w:lineRule="exact"/>
      </w:pPr>
      <w:r>
        <w:rPr>
          <w:color w:val="111111"/>
        </w:rPr>
        <w:br w:type="column"/>
      </w:r>
    </w:p>
    <w:p w:rsidR="00F714BD" w:rsidRPr="00EC37F3" w:rsidP="00EC37F3" w14:paraId="7DD8FE67" w14:textId="77777777">
      <w:pPr>
        <w:pStyle w:val="Heading3"/>
      </w:pPr>
      <w:bookmarkStart w:id="9" w:name="RG_MARKER_3914"/>
      <w:r w:rsidRPr="00EC37F3">
        <w:t>Rahoitus ja rahavirta</w:t>
      </w:r>
      <w:bookmarkEnd w:id="9"/>
    </w:p>
    <w:p w:rsidR="00D70A59" w:rsidRPr="00D70A59" w:rsidP="00D70A59" w14:paraId="08A4B76C" w14:textId="77777777">
      <w:pPr>
        <w:pStyle w:val="WNormal"/>
        <w:rPr>
          <w:color w:val="111111"/>
        </w:rPr>
      </w:pPr>
      <w:r w:rsidRPr="00D70A59">
        <w:rPr>
          <w:color w:val="111111"/>
        </w:rPr>
        <w:t xml:space="preserve">Wärtsilän liiketoiminnan rahavirta </w:t>
      </w:r>
      <w:r w:rsidR="00E64EBA">
        <w:rPr>
          <w:color w:val="111111"/>
        </w:rPr>
        <w:t xml:space="preserve">vuonna </w:t>
      </w:r>
      <w:r w:rsidRPr="006C0AB4" w:rsidR="001439B2">
        <w:t>2020</w:t>
      </w:r>
      <w:r w:rsidRPr="00D70A59">
        <w:rPr>
          <w:color w:val="111111"/>
        </w:rPr>
        <w:t xml:space="preserve"> </w:t>
      </w:r>
      <w:r>
        <w:rPr>
          <w:color w:val="111111"/>
        </w:rPr>
        <w:t>kasvoi 681 miljoonaan euroon</w:t>
      </w:r>
      <w:r w:rsidRPr="00D70A59">
        <w:rPr>
          <w:color w:val="111111"/>
        </w:rPr>
        <w:t xml:space="preserve"> (</w:t>
      </w:r>
      <w:r w:rsidRPr="00D70A59">
        <w:rPr>
          <w:color w:val="111111"/>
        </w:rPr>
        <w:t>232</w:t>
      </w:r>
      <w:r w:rsidRPr="00D70A59">
        <w:rPr>
          <w:color w:val="111111"/>
        </w:rPr>
        <w:t>)</w:t>
      </w:r>
      <w:r>
        <w:rPr>
          <w:color w:val="111111"/>
        </w:rPr>
        <w:t xml:space="preserve"> </w:t>
      </w:r>
      <w:r>
        <w:t>nettokäyttöpääoman pienenemisen ansiosta</w:t>
      </w:r>
      <w:r w:rsidRPr="00D70A59">
        <w:rPr>
          <w:color w:val="111111"/>
        </w:rPr>
        <w:t xml:space="preserve">. </w:t>
      </w:r>
      <w:r w:rsidRPr="00A848C6">
        <w:rPr>
          <w:color w:val="111111"/>
          <w:lang w:val="en-GB"/>
        </w:rPr>
        <w:t>Nettokäyttöpääoma</w:t>
      </w:r>
      <w:r>
        <w:rPr>
          <w:color w:val="111111"/>
          <w:lang w:val="en-GB"/>
        </w:rPr>
        <w:t xml:space="preserve"> vuoden lopussa</w:t>
      </w:r>
      <w:r w:rsidRPr="00A848C6">
        <w:rPr>
          <w:color w:val="111111"/>
          <w:lang w:val="en-GB"/>
        </w:rPr>
        <w:t xml:space="preserve"> </w:t>
      </w:r>
      <w:r>
        <w:rPr>
          <w:color w:val="111111"/>
          <w:lang w:val="en-GB"/>
        </w:rPr>
        <w:t>laski 257 miljoonaan euroon</w:t>
      </w:r>
      <w:r w:rsidRPr="00A848C6">
        <w:rPr>
          <w:color w:val="111111"/>
          <w:lang w:val="en-GB"/>
        </w:rPr>
        <w:t xml:space="preserve"> (</w:t>
      </w:r>
      <w:r w:rsidRPr="00A848C6">
        <w:rPr>
          <w:color w:val="111111"/>
          <w:lang w:val="en-GB"/>
        </w:rPr>
        <w:t>732</w:t>
      </w:r>
      <w:r w:rsidRPr="00A848C6">
        <w:rPr>
          <w:color w:val="111111"/>
          <w:lang w:val="en-GB"/>
        </w:rPr>
        <w:t xml:space="preserve">). </w:t>
      </w:r>
      <w:r>
        <w:t xml:space="preserve">Laskun taustalla oli vaihto-omaisuuden pieneneminen sekä saatavien perinnän vahvistaminen luottoriskin alentamiseksi. </w:t>
      </w:r>
      <w:r w:rsidRPr="00D70A59">
        <w:rPr>
          <w:color w:val="111111"/>
          <w:lang w:val="en-GB"/>
        </w:rPr>
        <w:t xml:space="preserve">Saatujen ennakoiden määrä oli </w:t>
      </w:r>
      <w:r w:rsidRPr="00D70A59">
        <w:rPr>
          <w:color w:val="111111"/>
          <w:lang w:val="en-GB"/>
        </w:rPr>
        <w:t>452</w:t>
      </w:r>
      <w:r w:rsidRPr="00D70A59">
        <w:rPr>
          <w:color w:val="111111"/>
          <w:lang w:val="en-GB"/>
        </w:rPr>
        <w:t xml:space="preserve"> miljoonaa euroa (</w:t>
      </w:r>
      <w:r w:rsidRPr="00D70A59">
        <w:rPr>
          <w:color w:val="111111"/>
          <w:lang w:val="en-GB"/>
        </w:rPr>
        <w:t>452</w:t>
      </w:r>
      <w:r w:rsidRPr="00D70A59">
        <w:rPr>
          <w:color w:val="111111"/>
          <w:lang w:val="en-GB"/>
        </w:rPr>
        <w:t xml:space="preserve">). </w:t>
      </w:r>
      <w:r w:rsidRPr="00D70A59">
        <w:rPr>
          <w:color w:val="111111"/>
        </w:rPr>
        <w:t xml:space="preserve">Lisäksi yhtiöllä oli </w:t>
      </w:r>
      <w:r w:rsidRPr="00D70A59">
        <w:rPr>
          <w:color w:val="111111"/>
        </w:rPr>
        <w:t>38</w:t>
      </w:r>
      <w:r w:rsidRPr="00D70A59">
        <w:rPr>
          <w:color w:val="111111"/>
        </w:rPr>
        <w:t xml:space="preserve"> miljoonaa euroa myytävinä oleviin omaisuuseriin liittyviä ennakoita.</w:t>
      </w:r>
    </w:p>
    <w:p w:rsidR="00D70A59" w:rsidRPr="00E64EBA" w:rsidP="00D70A59" w14:paraId="321D6368" w14:textId="77777777">
      <w:pPr>
        <w:pStyle w:val="WNormal"/>
        <w:rPr>
          <w:color w:val="FF0000"/>
        </w:rPr>
      </w:pPr>
      <w:r w:rsidRPr="00D70A59">
        <w:rPr>
          <w:color w:val="111111"/>
        </w:rPr>
        <w:t>Wärtsilä pyrki</w:t>
      </w:r>
      <w:r w:rsidRPr="00D70A59">
        <w:rPr>
          <w:color w:val="111111"/>
        </w:rPr>
        <w:t>i jatkuvasti varmistamaan riittävän likviditeetin tehokkaalla kassanhallinnalla ja pitämällä käytettävissään riittävän määrän vahvistettuja ja vahvistamattomia luottolimiittejä. Jälleenrahoitusriskiä hallitaan tasapainoisella ja riittävän pitkällä lainasal</w:t>
      </w:r>
      <w:r w:rsidRPr="00D70A59">
        <w:rPr>
          <w:color w:val="111111"/>
        </w:rPr>
        <w:t xml:space="preserve">kulla. </w:t>
      </w:r>
      <w:r>
        <w:t>Wärtsilä on edelleen vahvistanut likviditeettiään vuoden aikana koronaviruspandemian vuoksi. Toteutettuihin toimenpiteisiin sisältyvät vahvistettujen luottolimiittisopimusten jatkaminen ja lisälainoja koskevat neuvottelut.</w:t>
      </w:r>
    </w:p>
    <w:p w:rsidR="00D70A59" w:rsidRPr="00D70A59" w:rsidP="00D70A59" w14:paraId="2C7B56F6" w14:textId="77777777">
      <w:pPr>
        <w:pStyle w:val="WNormal"/>
        <w:rPr>
          <w:color w:val="111111"/>
        </w:rPr>
      </w:pPr>
      <w:r w:rsidRPr="00E64EBA">
        <w:rPr>
          <w:color w:val="111111"/>
        </w:rPr>
        <w:t>Rahavaroja oli</w:t>
      </w:r>
      <w:r w:rsidRPr="00E64EBA" w:rsidR="00E64EBA">
        <w:rPr>
          <w:color w:val="111111"/>
        </w:rPr>
        <w:t xml:space="preserve"> vu</w:t>
      </w:r>
      <w:r w:rsidR="00E64EBA">
        <w:rPr>
          <w:color w:val="111111"/>
        </w:rPr>
        <w:t>oden lopussa</w:t>
      </w:r>
      <w:r w:rsidRPr="00E64EBA">
        <w:rPr>
          <w:color w:val="111111"/>
        </w:rPr>
        <w:t xml:space="preserve"> </w:t>
      </w:r>
      <w:r w:rsidRPr="00E64EBA">
        <w:rPr>
          <w:color w:val="111111"/>
        </w:rPr>
        <w:t>919</w:t>
      </w:r>
      <w:r w:rsidRPr="00E64EBA">
        <w:rPr>
          <w:color w:val="111111"/>
        </w:rPr>
        <w:t xml:space="preserve"> miljoonaa euroa (</w:t>
      </w:r>
      <w:r w:rsidRPr="00E64EBA">
        <w:rPr>
          <w:color w:val="111111"/>
        </w:rPr>
        <w:t>358</w:t>
      </w:r>
      <w:r w:rsidRPr="00E64EBA">
        <w:rPr>
          <w:color w:val="111111"/>
        </w:rPr>
        <w:t xml:space="preserve">). </w:t>
      </w:r>
      <w:r w:rsidRPr="00D70A59">
        <w:rPr>
          <w:color w:val="111111"/>
        </w:rPr>
        <w:t xml:space="preserve">Lisäksi yhtiöllä oli </w:t>
      </w:r>
      <w:r w:rsidRPr="00D70A59">
        <w:rPr>
          <w:color w:val="111111"/>
        </w:rPr>
        <w:t>14</w:t>
      </w:r>
      <w:r w:rsidRPr="00D70A59">
        <w:rPr>
          <w:color w:val="111111"/>
        </w:rPr>
        <w:t xml:space="preserve"> miljoonaa euroa myytävinä oleviin omaisuuseriin liittyviä rahavaroja</w:t>
      </w:r>
      <w:r>
        <w:rPr>
          <w:color w:val="111111"/>
        </w:rPr>
        <w:t xml:space="preserve"> </w:t>
      </w:r>
      <w:r>
        <w:t>(</w:t>
      </w:r>
      <w:r>
        <w:t>11</w:t>
      </w:r>
      <w:r>
        <w:t>)</w:t>
      </w:r>
      <w:r w:rsidRPr="00D70A59">
        <w:rPr>
          <w:color w:val="111111"/>
        </w:rPr>
        <w:t xml:space="preserve">. Vahvistettuja ja käyttämättömiä luottolimiittisopimusohjelmia oli </w:t>
      </w:r>
      <w:r w:rsidRPr="00A848C6">
        <w:rPr>
          <w:color w:val="111111"/>
        </w:rPr>
        <w:t>660</w:t>
      </w:r>
      <w:r w:rsidRPr="00E64EBA">
        <w:rPr>
          <w:color w:val="FF0000"/>
        </w:rPr>
        <w:t xml:space="preserve"> </w:t>
      </w:r>
      <w:r w:rsidRPr="00D70A59">
        <w:rPr>
          <w:color w:val="111111"/>
        </w:rPr>
        <w:t>miljoonaa euroa (</w:t>
      </w:r>
      <w:r w:rsidRPr="00D70A59">
        <w:rPr>
          <w:color w:val="111111"/>
        </w:rPr>
        <w:t>640</w:t>
      </w:r>
      <w:r w:rsidRPr="00D70A59">
        <w:rPr>
          <w:color w:val="111111"/>
        </w:rPr>
        <w:t>).</w:t>
      </w:r>
    </w:p>
    <w:p w:rsidR="00D70A59" w:rsidRPr="00D70A59" w:rsidP="00D70A59" w14:paraId="12C3EE77" w14:textId="77777777">
      <w:pPr>
        <w:pStyle w:val="WNormal"/>
        <w:rPr>
          <w:color w:val="111111"/>
        </w:rPr>
      </w:pPr>
      <w:r w:rsidRPr="00D70A59">
        <w:rPr>
          <w:color w:val="111111"/>
        </w:rPr>
        <w:t xml:space="preserve">Wärtsilällä oli </w:t>
      </w:r>
      <w:r w:rsidR="00E64EBA">
        <w:rPr>
          <w:color w:val="111111"/>
        </w:rPr>
        <w:t>vuoden</w:t>
      </w:r>
      <w:r w:rsidRPr="00D70A59">
        <w:rPr>
          <w:color w:val="111111"/>
        </w:rPr>
        <w:t xml:space="preserve"> lopussa korollisia lainoja yhteensä </w:t>
      </w:r>
      <w:r w:rsidRPr="00D70A59">
        <w:rPr>
          <w:color w:val="111111"/>
        </w:rPr>
        <w:t>1 327</w:t>
      </w:r>
      <w:r w:rsidRPr="00D70A59">
        <w:rPr>
          <w:color w:val="111111"/>
        </w:rPr>
        <w:t xml:space="preserve"> miljoonaa euroa (</w:t>
      </w:r>
      <w:r w:rsidRPr="00D70A59">
        <w:rPr>
          <w:color w:val="111111"/>
        </w:rPr>
        <w:t>1 096</w:t>
      </w:r>
      <w:r w:rsidRPr="00D70A59">
        <w:rPr>
          <w:color w:val="111111"/>
        </w:rPr>
        <w:t xml:space="preserve">). </w:t>
      </w:r>
      <w:r w:rsidRPr="00D70A59">
        <w:rPr>
          <w:color w:val="111111"/>
        </w:rPr>
        <w:t xml:space="preserve">Lyhytaikaisia lainoja, jotka erääntyvät seuraavan 12 kuukauden sisällä, oli yhteensä </w:t>
      </w:r>
      <w:r w:rsidRPr="00D70A59">
        <w:rPr>
          <w:color w:val="111111"/>
        </w:rPr>
        <w:t>198</w:t>
      </w:r>
      <w:r w:rsidRPr="00D70A59">
        <w:rPr>
          <w:color w:val="111111"/>
        </w:rPr>
        <w:t xml:space="preserve"> miljoonaa euroa. Pitkäaikaisia lainoja oli yhteensä </w:t>
      </w:r>
      <w:r w:rsidRPr="00D70A59">
        <w:rPr>
          <w:color w:val="111111"/>
        </w:rPr>
        <w:t>1 129</w:t>
      </w:r>
      <w:r w:rsidRPr="00D70A59">
        <w:rPr>
          <w:color w:val="111111"/>
        </w:rPr>
        <w:t xml:space="preserve"> miljoonaa euroa.</w:t>
      </w:r>
    </w:p>
    <w:p w:rsidR="0028665A" w:rsidRPr="00D70A59" w:rsidP="00D70A59" w14:paraId="01A00F92" w14:textId="77777777">
      <w:pPr>
        <w:pStyle w:val="WNormal"/>
        <w:rPr>
          <w:color w:val="111111"/>
          <w:lang w:val="en-GB"/>
        </w:rPr>
      </w:pPr>
      <w:r w:rsidRPr="003869BA">
        <w:rPr>
          <w:color w:val="111111"/>
          <w:lang w:val="en-GB"/>
        </w:rPr>
        <w:t xml:space="preserve">Korollisen lainapääoman nettomäärä oli </w:t>
      </w:r>
      <w:r w:rsidRPr="003869BA">
        <w:rPr>
          <w:color w:val="111111"/>
          <w:lang w:val="en-GB"/>
        </w:rPr>
        <w:t>394</w:t>
      </w:r>
      <w:r w:rsidRPr="003869BA">
        <w:rPr>
          <w:color w:val="111111"/>
          <w:lang w:val="en-GB"/>
        </w:rPr>
        <w:t xml:space="preserve"> miljoonaa euroa (</w:t>
      </w:r>
      <w:r w:rsidRPr="003869BA">
        <w:rPr>
          <w:color w:val="111111"/>
          <w:lang w:val="en-GB"/>
        </w:rPr>
        <w:t>726</w:t>
      </w:r>
      <w:r w:rsidRPr="003869BA">
        <w:rPr>
          <w:color w:val="111111"/>
          <w:lang w:val="en-GB"/>
        </w:rPr>
        <w:t xml:space="preserve">). </w:t>
      </w:r>
      <w:r w:rsidRPr="00D70A59">
        <w:rPr>
          <w:color w:val="111111"/>
          <w:lang w:val="en-GB"/>
        </w:rPr>
        <w:t xml:space="preserve">Nettovelkaantumisaste oli </w:t>
      </w:r>
      <w:r w:rsidRPr="00D70A59">
        <w:rPr>
          <w:color w:val="111111"/>
          <w:lang w:val="en-GB"/>
        </w:rPr>
        <w:t>0,18</w:t>
      </w:r>
      <w:r w:rsidRPr="00D70A59">
        <w:rPr>
          <w:color w:val="111111"/>
          <w:lang w:val="en-GB"/>
        </w:rPr>
        <w:t xml:space="preserve"> (</w:t>
      </w:r>
      <w:r w:rsidRPr="00D70A59">
        <w:rPr>
          <w:color w:val="111111"/>
          <w:lang w:val="en-GB"/>
        </w:rPr>
        <w:t>0,30</w:t>
      </w:r>
      <w:r w:rsidRPr="00D70A59">
        <w:rPr>
          <w:color w:val="111111"/>
          <w:lang w:val="en-GB"/>
        </w:rPr>
        <w:t xml:space="preserve">) ja omavaraisuusaste </w:t>
      </w:r>
      <w:r w:rsidRPr="00D70A59">
        <w:rPr>
          <w:color w:val="111111"/>
          <w:lang w:val="en-GB"/>
        </w:rPr>
        <w:t>38,1</w:t>
      </w:r>
      <w:r w:rsidRPr="00D70A59">
        <w:rPr>
          <w:color w:val="111111"/>
          <w:lang w:val="en-GB"/>
        </w:rPr>
        <w:t>% (</w:t>
      </w:r>
      <w:r w:rsidRPr="00D70A59">
        <w:rPr>
          <w:color w:val="111111"/>
          <w:lang w:val="en-GB"/>
        </w:rPr>
        <w:t>40,8</w:t>
      </w:r>
      <w:r w:rsidRPr="00D70A59">
        <w:rPr>
          <w:color w:val="111111"/>
          <w:lang w:val="en-GB"/>
        </w:rPr>
        <w:t xml:space="preserve">). Osakekohtainen oma pääoma oli </w:t>
      </w:r>
      <w:r w:rsidRPr="00D70A59">
        <w:rPr>
          <w:color w:val="111111"/>
          <w:lang w:val="en-GB"/>
        </w:rPr>
        <w:t>3,68</w:t>
      </w:r>
      <w:r w:rsidRPr="00D70A59">
        <w:rPr>
          <w:color w:val="111111"/>
          <w:lang w:val="en-GB"/>
        </w:rPr>
        <w:t xml:space="preserve"> euroa (</w:t>
      </w:r>
      <w:r w:rsidRPr="00D70A59">
        <w:rPr>
          <w:color w:val="111111"/>
          <w:lang w:val="en-GB"/>
        </w:rPr>
        <w:t>4,05</w:t>
      </w:r>
      <w:r w:rsidRPr="00D70A59">
        <w:rPr>
          <w:color w:val="111111"/>
          <w:lang w:val="en-GB"/>
        </w:rPr>
        <w:t>).</w:t>
      </w:r>
    </w:p>
    <w:p w:rsidR="00780A7B" w:rsidRPr="002C3A92" w:rsidP="0028665A" w14:paraId="7481FA53" w14:textId="77777777">
      <w:pPr>
        <w:suppressAutoHyphens/>
        <w:spacing w:after="0" w:line="20" w:lineRule="exact"/>
        <w:rPr>
          <w:rStyle w:val="Emphasis"/>
          <w:lang w:val="en-GB"/>
        </w:rPr>
      </w:pPr>
      <w:r w:rsidRPr="002C3A92">
        <w:rPr>
          <w:rFonts w:ascii="Arial" w:hAnsi="Arial" w:cs="Arial"/>
          <w:spacing w:val="2"/>
          <w:sz w:val="17"/>
          <w:szCs w:val="17"/>
          <w:lang w:val="en-GB"/>
        </w:rPr>
        <w:br w:type="column"/>
      </w:r>
    </w:p>
    <w:tbl>
      <w:tblPr>
        <w:tblStyle w:val="TableGrid"/>
        <w:tblW w:w="4887"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887"/>
      </w:tblGrid>
      <w:tr w14:paraId="51A60993" w14:textId="77777777" w:rsidTr="003869BA">
        <w:tblPrEx>
          <w:tblW w:w="4887"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3847"/>
        </w:trPr>
        <w:tc>
          <w:tcPr>
            <w:tcW w:w="4887" w:type="dxa"/>
          </w:tcPr>
          <w:p w:rsidR="000C6BA7" w:rsidP="00623F0C" w14:paraId="396D3B63" w14:textId="77777777">
            <w:pPr>
              <w:pStyle w:val="Subtitle"/>
            </w:pPr>
            <w:r w:rsidRPr="002C3A92">
              <w:rPr>
                <w:spacing w:val="2"/>
                <w:szCs w:val="17"/>
                <w:lang w:val="en-GB"/>
              </w:rPr>
              <w:br w:type="column"/>
            </w:r>
            <w:r w:rsidRPr="00623F0C">
              <w:t>Lainat</w:t>
            </w:r>
          </w:p>
          <w:p w:rsidR="000C6BA7" w:rsidP="002C73FC" w14:paraId="2E8C264C" w14:textId="77777777">
            <w:pPr>
              <w:suppressAutoHyphens/>
              <w:spacing w:after="240" w:line="276" w:lineRule="auto"/>
              <w:rPr>
                <w:rFonts w:ascii="Arial" w:hAnsi="Arial" w:cs="Arial"/>
                <w:spacing w:val="2"/>
                <w:sz w:val="17"/>
                <w:szCs w:val="17"/>
                <w:lang w:val="fi-FI"/>
              </w:rPr>
            </w:pPr>
            <w:r w:rsidRPr="00CE1426">
              <w:rPr>
                <w:rFonts w:ascii="Arial" w:hAnsi="Arial" w:cs="Arial"/>
                <w:noProof/>
                <w:spacing w:val="2"/>
                <w:sz w:val="17"/>
                <w:szCs w:val="17"/>
                <w:lang w:val="fi-FI"/>
              </w:rPr>
              <w:drawing>
                <wp:inline distT="0" distB="0" distL="0" distR="0">
                  <wp:extent cx="3054096" cy="2249424"/>
                  <wp:effectExtent l="0" t="0" r="0" b="0"/>
                  <wp:docPr id="1190077862" name="Picture 1"/>
                  <wp:cNvGraphicFramePr/>
                  <a:graphic xmlns:a="http://schemas.openxmlformats.org/drawingml/2006/main">
                    <a:graphicData uri="http://schemas.openxmlformats.org/drawingml/2006/picture">
                      <pic:pic xmlns:pic="http://schemas.openxmlformats.org/drawingml/2006/picture">
                        <pic:nvPicPr>
                          <pic:cNvPr id="1311166365" name=""/>
                          <pic:cNvPicPr/>
                        </pic:nvPicPr>
                        <pic:blipFill>
                          <a:blip xmlns:r="http://schemas.openxmlformats.org/officeDocument/2006/relationships" r:embed="rId10"/>
                          <a:stretch>
                            <a:fillRect/>
                          </a:stretch>
                        </pic:blipFill>
                        <pic:spPr>
                          <a:xfrm>
                            <a:off x="0" y="0"/>
                            <a:ext cx="3054096" cy="2249424"/>
                          </a:xfrm>
                          <a:prstGeom prst="rect">
                            <a:avLst/>
                          </a:prstGeom>
                        </pic:spPr>
                      </pic:pic>
                    </a:graphicData>
                  </a:graphic>
                </wp:inline>
              </w:drawing>
            </w:r>
          </w:p>
        </w:tc>
      </w:tr>
      <w:tr w14:paraId="61A9E45C" w14:textId="77777777" w:rsidTr="003869BA">
        <w:tblPrEx>
          <w:tblW w:w="4887" w:type="dxa"/>
          <w:tblInd w:w="180" w:type="dxa"/>
          <w:tblCellMar>
            <w:left w:w="0" w:type="dxa"/>
            <w:right w:w="0" w:type="dxa"/>
          </w:tblCellMar>
          <w:tblLook w:val="04A0"/>
        </w:tblPrEx>
        <w:trPr>
          <w:trHeight w:val="4576"/>
        </w:trPr>
        <w:tc>
          <w:tcPr>
            <w:tcW w:w="4887" w:type="dxa"/>
            <w:tcMar>
              <w:top w:w="0" w:type="dxa"/>
              <w:left w:w="0" w:type="dxa"/>
              <w:bottom w:w="0" w:type="dxa"/>
              <w:right w:w="0" w:type="dxa"/>
            </w:tcMar>
          </w:tcPr>
          <w:p w:rsidR="00737307" w:rsidP="000C6BA7" w14:paraId="69CA2FAE" w14:textId="77777777">
            <w:pPr>
              <w:pStyle w:val="Wnormal0"/>
              <w:rPr>
                <w:b/>
                <w:bCs/>
                <w:color w:val="FF7321"/>
              </w:rPr>
            </w:pPr>
          </w:p>
          <w:p w:rsidR="000C6BA7" w:rsidRPr="00E05FAB" w:rsidP="00623F0C" w14:paraId="0C9419E7" w14:textId="77777777">
            <w:pPr>
              <w:pStyle w:val="Subtitle"/>
            </w:pPr>
            <w:r w:rsidRPr="00E05FAB">
              <w:t xml:space="preserve">Vahvistetut </w:t>
            </w:r>
            <w:r w:rsidRPr="00E05FAB">
              <w:t>luottolimiittisopimukset (kauden lopussa)</w:t>
            </w:r>
          </w:p>
          <w:p w:rsidR="000C6BA7" w:rsidP="000C6BA7" w14:paraId="28B277C7" w14:textId="77777777">
            <w:pPr>
              <w:suppressAutoHyphens/>
              <w:spacing w:after="240" w:line="276" w:lineRule="auto"/>
              <w:rPr>
                <w:rFonts w:ascii="Arial" w:hAnsi="Arial" w:cs="Arial"/>
                <w:spacing w:val="2"/>
                <w:sz w:val="17"/>
                <w:szCs w:val="17"/>
                <w:lang w:val="fi-FI"/>
              </w:rPr>
            </w:pPr>
            <w:r>
              <w:drawing>
                <wp:inline>
                  <wp:extent cx="3049499" cy="1620000"/>
                  <wp:docPr id="3" name="Chart_Credit facilities"/>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bl>
    <w:p w:rsidR="008C5467" w:rsidRPr="00EC37F3" w:rsidP="008C5467" w14:paraId="4DAA79CF" w14:textId="77777777">
      <w:pPr>
        <w:spacing w:after="0" w:line="20" w:lineRule="exact"/>
        <w:rPr>
          <w:lang w:val="fi-FI"/>
        </w:rPr>
      </w:pPr>
      <w:r w:rsidRPr="00EC37F3">
        <w:rPr>
          <w:lang w:val="fi-FI"/>
        </w:rPr>
        <w:br w:type="column"/>
      </w:r>
    </w:p>
    <w:tbl>
      <w:tblPr>
        <w:tblStyle w:val="TableGrid"/>
        <w:tblW w:w="4652"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52"/>
      </w:tblGrid>
      <w:tr w14:paraId="68098ECD" w14:textId="77777777" w:rsidTr="00AB2D7B">
        <w:tblPrEx>
          <w:tblW w:w="4652"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4032"/>
        </w:trPr>
        <w:tc>
          <w:tcPr>
            <w:tcW w:w="4652" w:type="dxa"/>
            <w:tcMar>
              <w:top w:w="0" w:type="dxa"/>
              <w:left w:w="0" w:type="dxa"/>
              <w:bottom w:w="0" w:type="dxa"/>
              <w:right w:w="0" w:type="dxa"/>
            </w:tcMar>
          </w:tcPr>
          <w:p w:rsidR="000C6BA7" w:rsidRPr="00E05FAB" w:rsidP="00623F0C" w14:paraId="200FD29E" w14:textId="77777777">
            <w:pPr>
              <w:pStyle w:val="Subtitle"/>
            </w:pPr>
            <w:r>
              <w:br w:type="column"/>
            </w:r>
            <w:r w:rsidRPr="00E05FAB">
              <w:t>Pitkäaikaisten lainojen erääntymisprofiili</w:t>
            </w:r>
          </w:p>
          <w:p w:rsidR="000C6BA7" w:rsidP="000C6BA7" w14:paraId="1A0FB7C4" w14:textId="77777777">
            <w:pPr>
              <w:suppressAutoHyphens/>
              <w:spacing w:after="240" w:line="276" w:lineRule="auto"/>
              <w:rPr>
                <w:rFonts w:ascii="Arial" w:hAnsi="Arial" w:cs="Arial"/>
                <w:spacing w:val="2"/>
                <w:sz w:val="17"/>
                <w:szCs w:val="17"/>
                <w:lang w:val="fi-FI"/>
              </w:rPr>
            </w:pPr>
            <w:r>
              <w:drawing>
                <wp:inline>
                  <wp:extent cx="3024184" cy="1872000"/>
                  <wp:docPr id="4" name="Chart_Long-term loans"/>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14:paraId="284E9A4A" w14:textId="77777777" w:rsidTr="00112503">
        <w:tblPrEx>
          <w:tblW w:w="4652" w:type="dxa"/>
          <w:tblInd w:w="-95" w:type="dxa"/>
          <w:tblLook w:val="04A0"/>
        </w:tblPrEx>
        <w:trPr>
          <w:trHeight w:val="4752"/>
        </w:trPr>
        <w:tc>
          <w:tcPr>
            <w:tcW w:w="4652" w:type="dxa"/>
            <w:tcMar>
              <w:top w:w="0" w:type="dxa"/>
              <w:left w:w="0" w:type="dxa"/>
              <w:bottom w:w="0" w:type="dxa"/>
              <w:right w:w="0" w:type="dxa"/>
            </w:tcMar>
          </w:tcPr>
          <w:p w:rsidR="00F525C2" w:rsidP="000C6BA7" w14:paraId="51B83BF1" w14:textId="77777777">
            <w:pPr>
              <w:pStyle w:val="Wnormal0"/>
              <w:rPr>
                <w:b/>
                <w:bCs/>
                <w:color w:val="FF7321"/>
              </w:rPr>
            </w:pPr>
          </w:p>
          <w:p w:rsidR="000C6BA7" w:rsidRPr="00656704" w:rsidP="00623F0C" w14:paraId="23E074DA" w14:textId="77777777">
            <w:pPr>
              <w:pStyle w:val="Subtitle"/>
            </w:pPr>
            <w:r w:rsidRPr="00623F0C">
              <w:t>Nettovelkaantumisaste</w:t>
            </w:r>
            <w:r w:rsidRPr="00656704">
              <w:t xml:space="preserve"> </w:t>
            </w:r>
          </w:p>
          <w:p w:rsidR="000C6BA7" w:rsidP="000C6BA7" w14:paraId="74EFA30A" w14:textId="77777777">
            <w:pPr>
              <w:suppressAutoHyphens/>
              <w:spacing w:after="240" w:line="276" w:lineRule="auto"/>
              <w:rPr>
                <w:rFonts w:ascii="Arial" w:hAnsi="Arial" w:cs="Arial"/>
                <w:spacing w:val="2"/>
                <w:sz w:val="17"/>
                <w:szCs w:val="17"/>
                <w:lang w:val="fi-FI"/>
              </w:rPr>
            </w:pPr>
            <w:r>
              <w:drawing>
                <wp:inline>
                  <wp:extent cx="3050645" cy="1620000"/>
                  <wp:docPr id="2143442575" name="Chart_Gearing"/>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bl>
    <w:p w:rsidR="00F714BD" w:rsidRPr="00893D8B" w:rsidP="001D1D9D" w14:paraId="7A01FC4E" w14:textId="5238DF04">
      <w:pPr>
        <w:pStyle w:val="WHeading3"/>
      </w:pPr>
      <w:bookmarkStart w:id="10" w:name="RG_MARKER_3912"/>
      <w:r w:rsidRPr="00893D8B">
        <w:t>Investoinnit</w:t>
      </w:r>
      <w:bookmarkEnd w:id="10"/>
    </w:p>
    <w:p w:rsidR="00497F7D" w:rsidRPr="00497F7D" w:rsidP="00497F7D" w14:paraId="113213C6" w14:textId="607BF01E">
      <w:pPr>
        <w:pStyle w:val="Wnormal0"/>
        <w:spacing w:after="240" w:line="276" w:lineRule="auto"/>
        <w:rPr>
          <w:spacing w:val="2"/>
          <w:sz w:val="17"/>
          <w:szCs w:val="17"/>
        </w:rPr>
      </w:pPr>
      <w:r w:rsidRPr="00497F7D">
        <w:rPr>
          <w:spacing w:val="2"/>
          <w:sz w:val="17"/>
          <w:szCs w:val="17"/>
        </w:rPr>
        <w:t xml:space="preserve">Aineettomiin ja aineellisiin hyödykkeisiin liittyvät investoinnit olivat yhteensä </w:t>
      </w:r>
      <w:r w:rsidRPr="00497F7D">
        <w:rPr>
          <w:spacing w:val="2"/>
          <w:sz w:val="17"/>
          <w:szCs w:val="17"/>
        </w:rPr>
        <w:t>115</w:t>
      </w:r>
      <w:r w:rsidRPr="00497F7D">
        <w:rPr>
          <w:spacing w:val="2"/>
          <w:sz w:val="17"/>
          <w:szCs w:val="17"/>
        </w:rPr>
        <w:t xml:space="preserve"> miljoonaa euroa (</w:t>
      </w:r>
      <w:r w:rsidRPr="00497F7D">
        <w:rPr>
          <w:spacing w:val="2"/>
          <w:sz w:val="17"/>
          <w:szCs w:val="17"/>
        </w:rPr>
        <w:t>116</w:t>
      </w:r>
      <w:r w:rsidRPr="00497F7D">
        <w:rPr>
          <w:spacing w:val="2"/>
          <w:sz w:val="17"/>
          <w:szCs w:val="17"/>
        </w:rPr>
        <w:t xml:space="preserve">) </w:t>
      </w:r>
      <w:r>
        <w:rPr>
          <w:spacing w:val="2"/>
          <w:sz w:val="17"/>
          <w:szCs w:val="17"/>
        </w:rPr>
        <w:t xml:space="preserve">vuonna </w:t>
      </w:r>
      <w:r w:rsidRPr="00CC4B0B">
        <w:rPr>
          <w:spacing w:val="2"/>
          <w:sz w:val="17"/>
          <w:szCs w:val="17"/>
        </w:rPr>
        <w:t>2020</w:t>
      </w:r>
      <w:r w:rsidRPr="00497F7D">
        <w:rPr>
          <w:spacing w:val="2"/>
          <w:sz w:val="17"/>
          <w:szCs w:val="17"/>
        </w:rPr>
        <w:t>. Yrityshankintoihin ja osa</w:t>
      </w:r>
      <w:r w:rsidRPr="00497F7D">
        <w:rPr>
          <w:spacing w:val="2"/>
          <w:sz w:val="17"/>
          <w:szCs w:val="17"/>
        </w:rPr>
        <w:t xml:space="preserve">kkeisiin liittyvät investoinnit olivat yhteensä </w:t>
      </w:r>
      <w:r w:rsidRPr="00497F7D">
        <w:rPr>
          <w:spacing w:val="2"/>
          <w:sz w:val="17"/>
          <w:szCs w:val="17"/>
        </w:rPr>
        <w:t>2</w:t>
      </w:r>
      <w:r w:rsidRPr="00497F7D">
        <w:rPr>
          <w:spacing w:val="2"/>
          <w:sz w:val="17"/>
          <w:szCs w:val="17"/>
        </w:rPr>
        <w:t xml:space="preserve"> </w:t>
      </w:r>
      <w:r w:rsidRPr="00E61446">
        <w:rPr>
          <w:spacing w:val="2"/>
          <w:sz w:val="17"/>
          <w:szCs w:val="17"/>
        </w:rPr>
        <w:t>miljoona</w:t>
      </w:r>
      <w:r>
        <w:rPr>
          <w:spacing w:val="2"/>
          <w:sz w:val="17"/>
          <w:szCs w:val="17"/>
        </w:rPr>
        <w:t>a</w:t>
      </w:r>
      <w:r w:rsidRPr="00497F7D">
        <w:rPr>
          <w:color w:val="FF0000"/>
          <w:spacing w:val="2"/>
          <w:sz w:val="17"/>
          <w:szCs w:val="17"/>
        </w:rPr>
        <w:t xml:space="preserve"> </w:t>
      </w:r>
      <w:r w:rsidRPr="00497F7D">
        <w:rPr>
          <w:spacing w:val="2"/>
          <w:sz w:val="17"/>
          <w:szCs w:val="17"/>
        </w:rPr>
        <w:t>euroa (</w:t>
      </w:r>
      <w:r w:rsidRPr="00497F7D">
        <w:rPr>
          <w:spacing w:val="2"/>
          <w:sz w:val="17"/>
          <w:szCs w:val="17"/>
        </w:rPr>
        <w:t>6</w:t>
      </w:r>
      <w:r w:rsidRPr="00497F7D">
        <w:rPr>
          <w:spacing w:val="2"/>
          <w:sz w:val="17"/>
          <w:szCs w:val="17"/>
        </w:rPr>
        <w:t xml:space="preserve">). </w:t>
      </w:r>
      <w:r>
        <w:rPr>
          <w:spacing w:val="2"/>
          <w:sz w:val="17"/>
          <w:szCs w:val="17"/>
        </w:rPr>
        <w:t>P</w:t>
      </w:r>
      <w:r w:rsidRPr="00497F7D">
        <w:rPr>
          <w:spacing w:val="2"/>
          <w:sz w:val="17"/>
          <w:szCs w:val="17"/>
        </w:rPr>
        <w:t xml:space="preserve">oistot ja arvonalentumiset olivat yhteensä </w:t>
      </w:r>
      <w:r w:rsidRPr="00497F7D">
        <w:rPr>
          <w:spacing w:val="2"/>
          <w:sz w:val="17"/>
          <w:szCs w:val="17"/>
        </w:rPr>
        <w:t>174</w:t>
      </w:r>
      <w:r w:rsidRPr="00497F7D">
        <w:rPr>
          <w:spacing w:val="2"/>
          <w:sz w:val="17"/>
          <w:szCs w:val="17"/>
        </w:rPr>
        <w:t xml:space="preserve"> miljoonaa eu</w:t>
      </w:r>
      <w:r w:rsidRPr="00497F7D">
        <w:rPr>
          <w:spacing w:val="2"/>
          <w:sz w:val="17"/>
          <w:szCs w:val="17"/>
        </w:rPr>
        <w:t>roa (</w:t>
      </w:r>
      <w:r w:rsidRPr="00497F7D">
        <w:rPr>
          <w:spacing w:val="2"/>
          <w:sz w:val="17"/>
          <w:szCs w:val="17"/>
        </w:rPr>
        <w:t>180</w:t>
      </w:r>
      <w:r w:rsidRPr="00497F7D">
        <w:rPr>
          <w:spacing w:val="2"/>
          <w:sz w:val="17"/>
          <w:szCs w:val="17"/>
        </w:rPr>
        <w:t>).</w:t>
      </w:r>
    </w:p>
    <w:p w:rsidR="000C6E13" w:rsidRPr="00497F7D" w:rsidP="00497F7D" w14:paraId="58321E22" w14:textId="492D5DDC">
      <w:pPr>
        <w:pStyle w:val="Wnormal0"/>
        <w:spacing w:after="240" w:line="276" w:lineRule="auto"/>
        <w:rPr>
          <w:spacing w:val="2"/>
          <w:sz w:val="17"/>
          <w:szCs w:val="17"/>
        </w:rPr>
      </w:pPr>
      <w:r w:rsidRPr="00497F7D">
        <w:rPr>
          <w:spacing w:val="2"/>
          <w:sz w:val="17"/>
          <w:szCs w:val="17"/>
        </w:rPr>
        <w:t>Vuonna 2021 aineettomiin ja aineellisiin hyödykkeisiin liittyvien investointien odotetaan olevan poistoja ja arvonalentumisia alemmalla tasolla.</w:t>
      </w:r>
    </w:p>
    <w:tbl>
      <w:tblPr>
        <w:tblStyle w:val="TableGrid"/>
        <w:tblW w:w="5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5283"/>
      </w:tblGrid>
      <w:tr w14:paraId="04CEB3EB" w14:textId="77777777" w:rsidTr="00D003F2">
        <w:tblPrEx>
          <w:tblW w:w="5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2959"/>
        </w:trPr>
        <w:tc>
          <w:tcPr>
            <w:tcW w:w="5283" w:type="dxa"/>
            <w:tcMar>
              <w:top w:w="0" w:type="dxa"/>
              <w:left w:w="0" w:type="dxa"/>
              <w:bottom w:w="0" w:type="dxa"/>
              <w:right w:w="0" w:type="dxa"/>
            </w:tcMar>
          </w:tcPr>
          <w:p w:rsidR="006F3642" w:rsidRPr="002603B1" w:rsidP="0034298C" w14:paraId="0D99EAC3" w14:textId="381F5E71">
            <w:pPr>
              <w:pStyle w:val="Subtitle"/>
              <w:rPr>
                <w:lang w:val="fi-FI"/>
              </w:rPr>
            </w:pPr>
            <w:r w:rsidRPr="002603B1">
              <w:rPr>
                <w:lang w:val="fi-FI"/>
              </w:rPr>
              <w:t xml:space="preserve">Bruttoinvestoinnit </w:t>
            </w:r>
          </w:p>
          <w:p w:rsidR="00771019" w:rsidP="007A070E" w14:paraId="6EB08441" w14:textId="6E4CA66F">
            <w:pPr>
              <w:pStyle w:val="Wnormal0"/>
              <w:rPr>
                <w:color w:val="FF7321"/>
              </w:rPr>
            </w:pPr>
            <w:r>
              <w:drawing>
                <wp:inline>
                  <wp:extent cx="3025688" cy="1980000"/>
                  <wp:docPr id="2143442576" name="Chart_Capital expenditure"/>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r>
    </w:tbl>
    <w:p w:rsidR="00C13668" w:rsidRPr="00040F29" w:rsidP="00957C02">
      <w:pPr>
        <w:pStyle w:val="WHeading3"/>
      </w:pPr>
      <w:bookmarkStart w:id="11" w:name="RG_MARKER_4957"/>
      <w:r w:rsidRPr="00040F29">
        <w:t>Innovaatiot, tutkimus ja kehitys</w:t>
      </w:r>
      <w:bookmarkEnd w:id="11"/>
    </w:p>
    <w:p w:rsidR="00C00EC0" w:rsidRPr="007A1528" w:rsidP="007A1528">
      <w:pPr>
        <w:pStyle w:val="WNormal"/>
      </w:pPr>
      <w:r w:rsidRPr="007A1528">
        <w:t xml:space="preserve">Wärtsilä </w:t>
      </w:r>
      <w:r w:rsidRPr="007A1528" w:rsidR="00B9307C">
        <w:t>on</w:t>
      </w:r>
      <w:r w:rsidRPr="007A1528">
        <w:t xml:space="preserve"> sitoutu</w:t>
      </w:r>
      <w:r w:rsidRPr="007A1528" w:rsidR="00B9307C">
        <w:t xml:space="preserve">nut </w:t>
      </w:r>
      <w:r w:rsidRPr="007A1528">
        <w:t>tukemaan meri</w:t>
      </w:r>
      <w:r w:rsidRPr="007A1528" w:rsidR="00B9307C">
        <w:t>- ja energia</w:t>
      </w:r>
      <w:r w:rsidRPr="007A1528">
        <w:t>teollisuu</w:t>
      </w:r>
      <w:r w:rsidRPr="007A1528" w:rsidR="00F869AA">
        <w:t>ksi</w:t>
      </w:r>
      <w:r w:rsidRPr="007A1528" w:rsidR="00B9307C">
        <w:t>en</w:t>
      </w:r>
      <w:r w:rsidRPr="007A1528">
        <w:t xml:space="preserve"> ympäristöjalanjäl</w:t>
      </w:r>
      <w:r w:rsidRPr="007A1528" w:rsidR="00F869AA">
        <w:t>j</w:t>
      </w:r>
      <w:r w:rsidRPr="007A1528">
        <w:t>en</w:t>
      </w:r>
      <w:r w:rsidRPr="007A1528" w:rsidR="00B9307C">
        <w:t xml:space="preserve"> minimointi</w:t>
      </w:r>
      <w:r w:rsidRPr="007A1528">
        <w:t xml:space="preserve">a. </w:t>
      </w:r>
      <w:r w:rsidRPr="007A1528" w:rsidR="00F869AA">
        <w:t xml:space="preserve">Investoinnit tutkimukseen ja kehitykseen ovat keskeisiä Wärtsilän tulevaisuuden aseman turvaamiseksi ja jatkuvat markkinoiden vallitsevasta epävarmuudesta huolimatta. </w:t>
      </w:r>
      <w:r w:rsidRPr="007A1528">
        <w:t xml:space="preserve">Keskeisiä tutkimus- ja kehitysalueita ovat vaihtoehtoisten, kaupallisesti elinkelpoisten </w:t>
      </w:r>
      <w:r w:rsidRPr="007A1528">
        <w:t xml:space="preserve">ja ympäristöystävällisten </w:t>
      </w:r>
      <w:r w:rsidRPr="007A1528" w:rsidR="00A95810">
        <w:t xml:space="preserve">tulevaisuuden </w:t>
      </w:r>
      <w:r w:rsidRPr="007A1528">
        <w:t xml:space="preserve">polttoaineiden käytön kehittäminen sekä </w:t>
      </w:r>
      <w:r w:rsidRPr="007A1528" w:rsidR="00B9307C">
        <w:t>asiakkaiden toimin</w:t>
      </w:r>
      <w:r w:rsidRPr="007A1528">
        <w:t>tojen</w:t>
      </w:r>
      <w:r w:rsidRPr="007A1528" w:rsidR="00B9307C">
        <w:t xml:space="preserve"> </w:t>
      </w:r>
      <w:r w:rsidRPr="007A1528">
        <w:t>liitettävyyden, tehokkuuden, kestävyyden ja turvallisuuden parantaminen digitaalisten ratkaisujen käyttöä</w:t>
      </w:r>
      <w:r w:rsidRPr="007A1528" w:rsidR="00663854">
        <w:t xml:space="preserve"> lisäämällä</w:t>
      </w:r>
      <w:r w:rsidRPr="007A1528">
        <w:t xml:space="preserve">. </w:t>
      </w:r>
      <w:r w:rsidRPr="007A1528" w:rsidR="00F869AA">
        <w:t>Elinkaariratkaisujen avulla Wärtsilä py</w:t>
      </w:r>
      <w:r w:rsidRPr="007A1528" w:rsidR="000117AA">
        <w:t>styy</w:t>
      </w:r>
      <w:r w:rsidRPr="007A1528" w:rsidR="00F869AA">
        <w:t xml:space="preserve"> pelkän </w:t>
      </w:r>
      <w:r w:rsidRPr="007A1528" w:rsidR="000117AA">
        <w:t>kunnossapidon</w:t>
      </w:r>
      <w:r w:rsidRPr="007A1528" w:rsidR="00F869AA">
        <w:t xml:space="preserve"> ja </w:t>
      </w:r>
      <w:r w:rsidRPr="007A1528" w:rsidR="000117AA">
        <w:t>käytön</w:t>
      </w:r>
      <w:r w:rsidRPr="007A1528" w:rsidR="00F869AA">
        <w:t xml:space="preserve"> sija</w:t>
      </w:r>
      <w:r w:rsidRPr="007A1528">
        <w:t>sta</w:t>
      </w:r>
      <w:r w:rsidRPr="007A1528" w:rsidR="00F869AA">
        <w:t xml:space="preserve"> tarjoamaan </w:t>
      </w:r>
      <w:r w:rsidRPr="007A1528" w:rsidR="000117AA">
        <w:t xml:space="preserve">taatun </w:t>
      </w:r>
      <w:r w:rsidRPr="007A1528" w:rsidR="00F869AA">
        <w:t>suorituskyvyn</w:t>
      </w:r>
      <w:r w:rsidRPr="007A1528" w:rsidR="000117AA">
        <w:t>, joka perustuu</w:t>
      </w:r>
      <w:r w:rsidRPr="007A1528" w:rsidR="00F869AA">
        <w:t xml:space="preserve"> yhteisesti sovit</w:t>
      </w:r>
      <w:r w:rsidRPr="007A1528" w:rsidR="000117AA">
        <w:t>tuihin</w:t>
      </w:r>
      <w:r w:rsidRPr="007A1528" w:rsidR="00F869AA">
        <w:t xml:space="preserve"> tavoitetas</w:t>
      </w:r>
      <w:r w:rsidRPr="007A1528" w:rsidR="000117AA">
        <w:t>oihin</w:t>
      </w:r>
      <w:r w:rsidRPr="007A1528">
        <w:t>.</w:t>
      </w:r>
      <w:r w:rsidRPr="007A1528" w:rsidR="00A95810">
        <w:t xml:space="preserve"> </w:t>
      </w:r>
      <w:r w:rsidRPr="007A1528">
        <w:t xml:space="preserve">Tutkimukseen ja tuotekehitykseen liittyvät kulut olivat vuonna </w:t>
      </w:r>
      <w:r w:rsidRPr="007A1528">
        <w:t>2020</w:t>
      </w:r>
      <w:r w:rsidRPr="007A1528">
        <w:t xml:space="preserve"> yhteensä </w:t>
      </w:r>
      <w:r w:rsidRPr="007A1528">
        <w:t>153</w:t>
      </w:r>
      <w:r w:rsidRPr="007A1528">
        <w:t xml:space="preserve"> miljoonaa euroa (</w:t>
      </w:r>
      <w:r w:rsidRPr="007A1528">
        <w:t>164</w:t>
      </w:r>
      <w:r w:rsidRPr="007A1528">
        <w:t xml:space="preserve">) eli </w:t>
      </w:r>
      <w:r w:rsidRPr="007A1528">
        <w:t>3,3</w:t>
      </w:r>
      <w:r w:rsidRPr="007A1528">
        <w:t>% liikevaihdosta (</w:t>
      </w:r>
      <w:r w:rsidRPr="007A1528">
        <w:t>3,2</w:t>
      </w:r>
      <w:r w:rsidRPr="007A1528">
        <w:t xml:space="preserve">). </w:t>
      </w:r>
    </w:p>
    <w:p w:rsidR="00A95810" w:rsidRPr="00A95810" w:rsidP="00A95810">
      <w:pPr>
        <w:pStyle w:val="WHeading4"/>
        <w:rPr>
          <w:lang w:val="fi-FI"/>
        </w:rPr>
      </w:pPr>
      <w:r w:rsidRPr="00A95810">
        <w:rPr>
          <w:lang w:val="fi-FI"/>
        </w:rPr>
        <w:t>Merenkulkumarkkinat</w:t>
      </w:r>
    </w:p>
    <w:p w:rsidR="00A95810" w:rsidRPr="007A1528" w:rsidP="007A1528">
      <w:pPr>
        <w:pStyle w:val="WNormal"/>
      </w:pPr>
      <w:r>
        <w:t>T</w:t>
      </w:r>
      <w:r w:rsidRPr="007A1528" w:rsidR="00631CE8">
        <w:t xml:space="preserve">ulevaisuuden polttoaineiden </w:t>
      </w:r>
      <w:r w:rsidRPr="007A1528" w:rsidR="004400D0">
        <w:t>kehit</w:t>
      </w:r>
      <w:r w:rsidRPr="007A1528" w:rsidR="00631CE8">
        <w:t>yksen edistämiseksi</w:t>
      </w:r>
      <w:r w:rsidRPr="007A1528" w:rsidR="004400D0">
        <w:t xml:space="preserve"> </w:t>
      </w:r>
      <w:r w:rsidRPr="007A1528" w:rsidR="00631CE8">
        <w:t>Wärtsilä käynnist</w:t>
      </w:r>
      <w:r w:rsidRPr="007A1528" w:rsidR="00631CE8">
        <w:t xml:space="preserve">i vuonna 2020 tiiviissä yhteistyössä Knutsen OAS Shipping AS:n, Repsolin ja Sustainable Energy Catapult Centren kanssa maailman ensimmäisen pitkäaikaisen, </w:t>
      </w:r>
      <w:r w:rsidRPr="007A1528" w:rsidR="00772A21">
        <w:t>täysi</w:t>
      </w:r>
      <w:r w:rsidRPr="007A1528" w:rsidR="00631CE8">
        <w:t>mittaisen ammoniakin testauksen polttoaineena nelitahtisessa laivan polttomoottorissa. Testausta</w:t>
      </w:r>
      <w:r w:rsidRPr="007A1528" w:rsidR="00631CE8">
        <w:t xml:space="preserve"> tukee Norjan tutkimusneuvoston DEMO 2000 -ohjelman kautta tarjoama 20 miljoonan </w:t>
      </w:r>
      <w:r w:rsidR="00F74BFE">
        <w:t xml:space="preserve">Norjan </w:t>
      </w:r>
      <w:r w:rsidRPr="007A1528" w:rsidR="00631CE8">
        <w:t>kruunun apuraha.</w:t>
      </w:r>
    </w:p>
    <w:p w:rsidR="00772A21" w:rsidRPr="007A1528" w:rsidP="007A1528">
      <w:pPr>
        <w:pStyle w:val="WNormal"/>
      </w:pPr>
      <w:r w:rsidRPr="007A1528">
        <w:t>Tuotetarjooman parantamiseen liittyviin keskeisiin kehitysaskeleisiin kuului Wärtsilän nestekaasupolttoainejärjestelmän täysimittai</w:t>
      </w:r>
      <w:r w:rsidRPr="007A1528" w:rsidR="004400D0">
        <w:t>n</w:t>
      </w:r>
      <w:r w:rsidRPr="007A1528">
        <w:t>en testau</w:t>
      </w:r>
      <w:r w:rsidRPr="007A1528" w:rsidR="004400D0">
        <w:t>s</w:t>
      </w:r>
      <w:r w:rsidRPr="007A1528">
        <w:t xml:space="preserve"> täysikok</w:t>
      </w:r>
      <w:r w:rsidRPr="007A1528">
        <w:t>oisella kaksitahtisella merimoottorilla, joka käyttää polttoaineenaan nestekaasua (LPG). Testit toteutettiin tekemällä järjestelmän jälkiasennus neljään erittäin suureen kaasunkuljetusalukseen, jotka omistaa norjalainen laivayhtiö BW LPG.</w:t>
      </w:r>
      <w:r w:rsidRPr="007A1528" w:rsidR="007C0BB9">
        <w:t xml:space="preserve"> Lisäksi Wärtsilä toi markkinoille FuelFlex Injection Control Unit -päivitysratkaisun, joka mahdollistaa RT-flex-kaksitahtimoottorin käytön sekä jäännös- että matalaviskositeettisilla meripolttoaineilla. Tämä on erityisen tärkeää ottaen huomioon, että meriteollisuudessa käytetään yhä enemmän vähärikkisiä polttoaineita rikkipäästöjä koskevan sääntelyn noudattamiseksi. Wärtsilä esitteli myös Compact Reliq -uudelleennesteytyslaitoksen. Järjestelmä on suunniteltu nesteyttämään höyrystymiskaasu uudelleen kaasunkuljetusaluksilla ja LNG-bunkkerialuksilla sekä pitämään rahti viileänä kaikissa olosuhteissa. Kompaktin rakenteensa ansiosta järjestelmä voidaan asentaa olemassa oleviin aluksiin ilman laajoja muutostöitä. Vuoden aikana Wärtsilä myös paransi 31DF-monipolttoainemoottorin</w:t>
      </w:r>
      <w:r w:rsidRPr="007A1528" w:rsidR="004400D0">
        <w:t>sa</w:t>
      </w:r>
      <w:r w:rsidRPr="007A1528" w:rsidR="007C0BB9">
        <w:t xml:space="preserve"> tehoa, mikä </w:t>
      </w:r>
      <w:r w:rsidRPr="007A1528" w:rsidR="00A27B20">
        <w:t>väh</w:t>
      </w:r>
      <w:r w:rsidRPr="007A1528" w:rsidR="007C0BB9">
        <w:t>en</w:t>
      </w:r>
      <w:r w:rsidRPr="007A1528" w:rsidR="00A27B20">
        <w:t>tää</w:t>
      </w:r>
      <w:r w:rsidRPr="007A1528" w:rsidR="007C0BB9">
        <w:t xml:space="preserve"> kasvihuonekaasupäästöjä</w:t>
      </w:r>
      <w:r w:rsidR="00DF5E70">
        <w:t xml:space="preserve"> </w:t>
      </w:r>
      <w:r w:rsidR="00D35A97">
        <w:t>tehden</w:t>
      </w:r>
      <w:r w:rsidRPr="007A1528" w:rsidR="007C0BB9">
        <w:t xml:space="preserve"> moottori</w:t>
      </w:r>
      <w:r w:rsidR="00DF5E70">
        <w:t>sta</w:t>
      </w:r>
      <w:r w:rsidRPr="007A1528" w:rsidR="007C0BB9">
        <w:t xml:space="preserve"> </w:t>
      </w:r>
      <w:r w:rsidRPr="007A1528" w:rsidR="00A27B20">
        <w:t xml:space="preserve">yhä </w:t>
      </w:r>
      <w:r w:rsidR="00DF5E70">
        <w:t>ympäristömyötäisemmän</w:t>
      </w:r>
      <w:r w:rsidRPr="007A1528" w:rsidR="007C0BB9">
        <w:t xml:space="preserve"> </w:t>
      </w:r>
      <w:r w:rsidR="00D35A97">
        <w:t xml:space="preserve">sekä </w:t>
      </w:r>
      <w:r w:rsidRPr="007A1528" w:rsidR="00A27B20">
        <w:t>piene</w:t>
      </w:r>
      <w:r w:rsidR="009C0034">
        <w:t>ntää</w:t>
      </w:r>
      <w:r w:rsidRPr="007A1528" w:rsidR="007C0BB9">
        <w:t xml:space="preserve"> asennus- </w:t>
      </w:r>
      <w:r w:rsidRPr="007A1528" w:rsidR="00A27B20">
        <w:t>ja</w:t>
      </w:r>
      <w:r w:rsidRPr="007A1528" w:rsidR="007C0BB9">
        <w:t xml:space="preserve"> ylläpitokustannu</w:t>
      </w:r>
      <w:r w:rsidRPr="007A1528" w:rsidR="00A27B20">
        <w:t>ks</w:t>
      </w:r>
      <w:r w:rsidR="009C0034">
        <w:t>ia</w:t>
      </w:r>
      <w:r w:rsidRPr="007A1528" w:rsidR="007C0BB9">
        <w:t>.</w:t>
      </w:r>
    </w:p>
    <w:p w:rsidR="00F93CF4" w:rsidRPr="007A1528" w:rsidP="007A1528">
      <w:pPr>
        <w:pStyle w:val="WNormal"/>
      </w:pPr>
      <w:r w:rsidRPr="007A1528">
        <w:t>Merenkulun siirtyessä uuteen innovaatioiden ja ennennäkemättömän tehokkuuden aikakauteen W</w:t>
      </w:r>
      <w:r w:rsidRPr="007A1528">
        <w:t>ärtsilä hyödyntää liitettävyyttä ja digitalisaatiota kaikki</w:t>
      </w:r>
      <w:r w:rsidRPr="007A1528" w:rsidR="00CA57D9">
        <w:t>en</w:t>
      </w:r>
      <w:r w:rsidRPr="007A1528">
        <w:t xml:space="preserve"> mer</w:t>
      </w:r>
      <w:r w:rsidRPr="007A1528" w:rsidR="00CA57D9">
        <w:t xml:space="preserve">enkulun </w:t>
      </w:r>
      <w:r w:rsidRPr="007A1528">
        <w:t>sovellu</w:t>
      </w:r>
      <w:r w:rsidRPr="007A1528" w:rsidR="00CA57D9">
        <w:t>sten</w:t>
      </w:r>
      <w:r w:rsidRPr="007A1528">
        <w:t xml:space="preserve"> sekä asiakkaiden toiminnan tehokkuu</w:t>
      </w:r>
      <w:r w:rsidRPr="007A1528" w:rsidR="00CA57D9">
        <w:t>den</w:t>
      </w:r>
      <w:r w:rsidRPr="007A1528">
        <w:t>, kestävyy</w:t>
      </w:r>
      <w:r w:rsidRPr="007A1528" w:rsidR="00CA57D9">
        <w:t>den</w:t>
      </w:r>
      <w:r w:rsidRPr="007A1528">
        <w:t xml:space="preserve"> ja turvallisuu</w:t>
      </w:r>
      <w:r w:rsidRPr="007A1528" w:rsidR="00CA57D9">
        <w:t>den parantamiseksi ja optimoimiseksi</w:t>
      </w:r>
      <w:r w:rsidRPr="007A1528">
        <w:t>. Älykkääseen navigointiin liittyviin saavutuksiin kuului Navi-Portin</w:t>
      </w:r>
      <w:r w:rsidRPr="007A1528">
        <w:t xml:space="preserve"> lanseeraus.</w:t>
      </w:r>
      <w:r w:rsidRPr="007A1528" w:rsidR="00CA57D9">
        <w:t xml:space="preserve"> Uusi ratkaisu mahdollistaa </w:t>
      </w:r>
      <w:r w:rsidRPr="007A1528">
        <w:t>saumat</w:t>
      </w:r>
      <w:r w:rsidRPr="007A1528" w:rsidR="00CA57D9">
        <w:t>toman</w:t>
      </w:r>
      <w:r w:rsidRPr="007A1528">
        <w:t xml:space="preserve"> tie</w:t>
      </w:r>
      <w:r w:rsidRPr="007A1528" w:rsidR="004400D0">
        <w:t>don</w:t>
      </w:r>
      <w:r w:rsidRPr="007A1528">
        <w:t>vaih</w:t>
      </w:r>
      <w:r w:rsidRPr="007A1528" w:rsidR="00CA57D9">
        <w:t>don</w:t>
      </w:r>
      <w:r w:rsidRPr="007A1528">
        <w:t xml:space="preserve"> aluksen ja sataman välillä</w:t>
      </w:r>
      <w:r w:rsidRPr="007A1528" w:rsidR="00CA57D9">
        <w:t xml:space="preserve"> ja siten oikea-aikaisen</w:t>
      </w:r>
      <w:r w:rsidRPr="007A1528">
        <w:t xml:space="preserve"> saapumisen satamaan.</w:t>
      </w:r>
      <w:r w:rsidRPr="007A1528" w:rsidR="00CA57D9">
        <w:t xml:space="preserve"> Ratkaisu toteutettiin</w:t>
      </w:r>
      <w:r w:rsidRPr="007A1528">
        <w:t xml:space="preserve"> yhdessä Carnival Maritime -yhtiön ja Hampurin alusten koordinointikeskuksen (HVCC) kanssa.</w:t>
      </w:r>
      <w:r w:rsidRPr="007A1528" w:rsidR="00CA57D9">
        <w:t xml:space="preserve"> Lisäksi Wärtsilä Voyage ja PSA Marine saivat onnistuneesti päätökseen IntelliTug-projektin ensimmäiset merikokeet</w:t>
      </w:r>
      <w:r w:rsidRPr="007A1528" w:rsidR="009F3E06">
        <w:t xml:space="preserve"> Singaporessa.</w:t>
      </w:r>
      <w:r w:rsidRPr="007A1528" w:rsidR="00CA57D9">
        <w:t xml:space="preserve"> </w:t>
      </w:r>
      <w:r w:rsidRPr="007A1528" w:rsidR="009F3E06">
        <w:t xml:space="preserve">Kokeet todistivat </w:t>
      </w:r>
      <w:r w:rsidRPr="007A1528" w:rsidR="00CA57D9">
        <w:t>IntelliTugin kyvyn välttää erilaisia esteitä, mukaan lukien virtuaaliset ja tosielämä</w:t>
      </w:r>
      <w:r w:rsidRPr="007A1528" w:rsidR="009F3E06">
        <w:t>n</w:t>
      </w:r>
      <w:r w:rsidRPr="007A1528" w:rsidR="00CA57D9">
        <w:t xml:space="preserve"> liikkuvat alukset. </w:t>
      </w:r>
      <w:r w:rsidRPr="007A1528" w:rsidR="009F3E06">
        <w:t>Kyseessä</w:t>
      </w:r>
      <w:r w:rsidRPr="007A1528" w:rsidR="00CA57D9">
        <w:t xml:space="preserve"> oli ensimmäinen ko</w:t>
      </w:r>
      <w:r w:rsidRPr="007A1528" w:rsidR="009F3E06">
        <w:t>e</w:t>
      </w:r>
      <w:r w:rsidRPr="007A1528" w:rsidR="00CA57D9">
        <w:t>, jossa käytettiin Singaporen merenkul</w:t>
      </w:r>
      <w:r w:rsidRPr="007A1528" w:rsidR="009F3E06">
        <w:t>ku-</w:t>
      </w:r>
      <w:r w:rsidRPr="007A1528" w:rsidR="00CA57D9">
        <w:t xml:space="preserve"> ja satamaviranomaisen (MPA) MASS-sääntely</w:t>
      </w:r>
      <w:r w:rsidRPr="007A1528" w:rsidR="009F3E06">
        <w:t>ä</w:t>
      </w:r>
      <w:r w:rsidRPr="007A1528" w:rsidR="003D2EAC">
        <w:t xml:space="preserve"> (Maritime Autonomous Surface Ship)</w:t>
      </w:r>
      <w:r w:rsidRPr="007A1528" w:rsidR="00CA57D9">
        <w:t xml:space="preserve">, joka on </w:t>
      </w:r>
      <w:r w:rsidRPr="007A1528" w:rsidR="003D2EAC">
        <w:t>laadittu</w:t>
      </w:r>
      <w:r w:rsidRPr="007A1528" w:rsidR="00CA57D9">
        <w:t xml:space="preserve"> helpottamaan </w:t>
      </w:r>
      <w:r w:rsidRPr="007A1528" w:rsidR="003D2EAC">
        <w:t xml:space="preserve">autonomisten pinta-alusten </w:t>
      </w:r>
      <w:r w:rsidRPr="007A1528" w:rsidR="00CA57D9">
        <w:t>ja muiden autonomisten tekn</w:t>
      </w:r>
      <w:r w:rsidRPr="007A1528" w:rsidR="003D2EAC">
        <w:t>ologioiden</w:t>
      </w:r>
      <w:r w:rsidRPr="007A1528" w:rsidR="00CA57D9">
        <w:t xml:space="preserve"> testa</w:t>
      </w:r>
      <w:r w:rsidRPr="007A1528" w:rsidR="003D2EAC">
        <w:t>u</w:t>
      </w:r>
      <w:r w:rsidRPr="007A1528" w:rsidR="00CA57D9">
        <w:t xml:space="preserve">sta turvallisessa ja valvotussa ympäristössä </w:t>
      </w:r>
      <w:r w:rsidRPr="007A1528" w:rsidR="003D2EAC">
        <w:t xml:space="preserve">Singaporen </w:t>
      </w:r>
      <w:r w:rsidRPr="007A1528" w:rsidR="00CA57D9">
        <w:t xml:space="preserve">satamassa. Wärtsilä </w:t>
      </w:r>
      <w:r w:rsidRPr="007A1528" w:rsidR="003D2EAC">
        <w:t>testasi</w:t>
      </w:r>
      <w:r w:rsidRPr="007A1528" w:rsidR="00CA57D9">
        <w:t xml:space="preserve"> menestyksekkäästi myös Wärtsilä SmartMove Suite -</w:t>
      </w:r>
      <w:r w:rsidRPr="007A1528" w:rsidR="003D2EAC">
        <w:t>ratkaisua</w:t>
      </w:r>
      <w:r w:rsidRPr="007A1528" w:rsidR="00CA57D9">
        <w:t>, joka on ainutlaatuinen anturitekn</w:t>
      </w:r>
      <w:r w:rsidRPr="007A1528" w:rsidR="003D2EAC">
        <w:t>ologi</w:t>
      </w:r>
      <w:r w:rsidRPr="007A1528" w:rsidR="00CA57D9">
        <w:t xml:space="preserve">an ja navigointijärjestelmien yhdistelmä alusten </w:t>
      </w:r>
      <w:r w:rsidRPr="007A1528" w:rsidR="003D2EAC">
        <w:t xml:space="preserve">puoliautonomiseen </w:t>
      </w:r>
      <w:r w:rsidRPr="007A1528" w:rsidR="00CA57D9">
        <w:t>liikkumis</w:t>
      </w:r>
      <w:r w:rsidRPr="007A1528" w:rsidR="003D2EAC">
        <w:t>een</w:t>
      </w:r>
      <w:r w:rsidRPr="007A1528" w:rsidR="00CA57D9">
        <w:t xml:space="preserve">. </w:t>
      </w:r>
      <w:r w:rsidRPr="007A1528" w:rsidR="003D2EAC">
        <w:t xml:space="preserve">The American Steamship Company </w:t>
      </w:r>
      <w:r w:rsidRPr="007A1528" w:rsidR="00FC084D">
        <w:t>otti</w:t>
      </w:r>
      <w:r w:rsidRPr="007A1528" w:rsidR="00CA57D9">
        <w:t xml:space="preserve"> ensimmäi</w:t>
      </w:r>
      <w:r w:rsidRPr="007A1528" w:rsidR="00FC084D">
        <w:t>senä</w:t>
      </w:r>
      <w:r w:rsidRPr="007A1528" w:rsidR="005454A0">
        <w:t xml:space="preserve"> yhtiö</w:t>
      </w:r>
      <w:r w:rsidRPr="007A1528" w:rsidR="00FC084D">
        <w:t>nä</w:t>
      </w:r>
      <w:r w:rsidRPr="007A1528" w:rsidR="00CA57D9">
        <w:t xml:space="preserve"> </w:t>
      </w:r>
      <w:r w:rsidRPr="007A1528" w:rsidR="00FC084D">
        <w:t xml:space="preserve">käyttöön </w:t>
      </w:r>
      <w:r w:rsidRPr="007A1528" w:rsidR="00CA57D9">
        <w:t>Wärtsilä SmartMove -ratkaisu</w:t>
      </w:r>
      <w:r w:rsidRPr="007A1528" w:rsidR="004400D0">
        <w:t>n</w:t>
      </w:r>
      <w:r w:rsidRPr="007A1528" w:rsidR="00CA57D9">
        <w:t xml:space="preserve"> kauttakulkuliikentees</w:t>
      </w:r>
      <w:r w:rsidRPr="007A1528" w:rsidR="005454A0">
        <w:t>sä</w:t>
      </w:r>
      <w:r w:rsidRPr="007A1528" w:rsidR="00CA57D9">
        <w:t xml:space="preserve"> Cuyahoga-joella Ohiossa, Yhdysvalloissa.</w:t>
      </w:r>
    </w:p>
    <w:p w:rsidR="00F71A80" w:rsidRPr="007A1528" w:rsidP="007A1528">
      <w:pPr>
        <w:pStyle w:val="WNormal"/>
      </w:pPr>
      <w:r w:rsidRPr="007A1528">
        <w:t>Vuonna 2020 lanseerattiin myös useita etätukipalveluja, kuten maailmanlaajuinen Smart Support C</w:t>
      </w:r>
      <w:r w:rsidRPr="007A1528">
        <w:t xml:space="preserve">enter -palvelu, joka on suunniteltu tarjoamaan operatiivista tukea virtuaalisten huoltoinsinöörien kautta kaikille Wärtsilä Voyage -laitteille. Assured Operations -etätukipalvelu </w:t>
      </w:r>
      <w:r w:rsidRPr="007A1528" w:rsidR="001E66D6">
        <w:t xml:space="preserve">puolestaan lanseerattiin </w:t>
      </w:r>
      <w:r w:rsidRPr="007A1528">
        <w:t>asiakkaille, jotka käyttävät Wärtsilän neli- ja kaks</w:t>
      </w:r>
      <w:r w:rsidRPr="007A1528">
        <w:t>itahtimoottoreita. Palvelu antaa teknisille asiantuntijoille mahdollisuuden arvioida ja ratkoa operatiivisia ongelmia avomerialusten ja Wärtsilän asiantuntijakeskusten välillä toimivan etäyhteyden kautta.</w:t>
      </w:r>
      <w:r w:rsidRPr="007A1528" w:rsidR="001E66D6">
        <w:t xml:space="preserve"> Vuoden aikana Wärtsilä</w:t>
      </w:r>
      <w:r w:rsidRPr="007A1528" w:rsidR="004400D0">
        <w:t xml:space="preserve"> myös</w:t>
      </w:r>
      <w:r w:rsidRPr="007A1528" w:rsidR="001E66D6">
        <w:t xml:space="preserve"> toi digitaalisen ennakoivan huollon tuotteen Expert Insightin saataville kaksitahtimoottoreille. Samanaikaisesti </w:t>
      </w:r>
      <w:r w:rsidRPr="007A1528">
        <w:t>yhtiö</w:t>
      </w:r>
      <w:r w:rsidRPr="007A1528" w:rsidR="001E66D6">
        <w:t xml:space="preserve"> </w:t>
      </w:r>
      <w:r w:rsidRPr="007A1528" w:rsidR="001E66D6">
        <w:t>julkaisi</w:t>
      </w:r>
      <w:r w:rsidR="006879E1">
        <w:t xml:space="preserve"> ensiversion</w:t>
      </w:r>
      <w:r w:rsidRPr="007A1528" w:rsidR="001E66D6">
        <w:t xml:space="preserve"> </w:t>
      </w:r>
      <w:r w:rsidRPr="007A1528">
        <w:t>rikkipesure</w:t>
      </w:r>
      <w:r>
        <w:t>iden etävalvonta</w:t>
      </w:r>
      <w:r w:rsidRPr="007A1528" w:rsidR="001E66D6">
        <w:t>tuottee</w:t>
      </w:r>
      <w:r w:rsidR="006879E1">
        <w:t>sta</w:t>
      </w:r>
      <w:r w:rsidRPr="007A1528" w:rsidR="001E66D6">
        <w:t xml:space="preserve">, joka tarjoaa jatkuvan koko laivaston kattavan kuvan alusten vaatimustenmukaisuudesta ja rikkipesureiden käytöstä. Lisäksi Wärtsilä Voyage nopeutti Wärtsilän uuden pilvipohjaisen simulaatioalustan lanseerausta, jotta </w:t>
      </w:r>
      <w:r w:rsidRPr="007A1528">
        <w:t xml:space="preserve">meriakatemiat ja </w:t>
      </w:r>
      <w:r w:rsidRPr="007A1528" w:rsidR="001E66D6">
        <w:t xml:space="preserve">merenkulkukoulut voisivat jatkaa koulutustaan huolimatta koronaviruksen puhkeamista seuranneista sulkutoimenpiteistä ja etäisyysvaatimuksista. Johtava </w:t>
      </w:r>
      <w:r w:rsidRPr="007A1528" w:rsidR="00560E25">
        <w:t xml:space="preserve">alusten hallintayritys </w:t>
      </w:r>
      <w:r w:rsidRPr="007A1528" w:rsidR="001E66D6">
        <w:t xml:space="preserve">Anglo-Eastern valitsi </w:t>
      </w:r>
      <w:r w:rsidRPr="007A1528" w:rsidR="004400D0">
        <w:t xml:space="preserve">kyseisen </w:t>
      </w:r>
      <w:r w:rsidRPr="007A1528" w:rsidR="00560E25">
        <w:t xml:space="preserve">ratkaisun </w:t>
      </w:r>
      <w:r w:rsidRPr="007A1528" w:rsidR="001E66D6">
        <w:t>t</w:t>
      </w:r>
      <w:r w:rsidRPr="007A1528" w:rsidR="00560E25">
        <w:t>uo</w:t>
      </w:r>
      <w:r w:rsidRPr="007A1528" w:rsidR="001E66D6">
        <w:t>maan verkko</w:t>
      </w:r>
      <w:r w:rsidRPr="007A1528" w:rsidR="00560E25">
        <w:t xml:space="preserve">pohjaista </w:t>
      </w:r>
      <w:r w:rsidRPr="007A1528" w:rsidR="001E66D6">
        <w:t>kapasiteettia yrityksen koulutuskeskuksi</w:t>
      </w:r>
      <w:r w:rsidRPr="007A1528" w:rsidR="00560E25">
        <w:t>in</w:t>
      </w:r>
      <w:r w:rsidRPr="007A1528" w:rsidR="001E66D6">
        <w:t xml:space="preserve"> Intiassa, Filippiineillä ja Ukrainassa. Pilvipohjaisia simulaattoreita käytetään</w:t>
      </w:r>
      <w:r w:rsidRPr="007A1528" w:rsidR="00560E25">
        <w:t xml:space="preserve"> navigointi</w:t>
      </w:r>
      <w:r w:rsidRPr="007A1528" w:rsidR="00525C00">
        <w:t>-</w:t>
      </w:r>
      <w:r w:rsidRPr="007A1528" w:rsidR="00560E25">
        <w:t>, suunnittelu</w:t>
      </w:r>
      <w:r w:rsidRPr="007A1528" w:rsidR="00525C00">
        <w:t>-</w:t>
      </w:r>
      <w:r w:rsidRPr="007A1528" w:rsidR="00560E25">
        <w:t xml:space="preserve"> ja nestemäisten lastien käsittelykoulutuksessa</w:t>
      </w:r>
      <w:r w:rsidRPr="007A1528" w:rsidR="001E66D6">
        <w:t>.</w:t>
      </w:r>
    </w:p>
    <w:p w:rsidR="00A95810" w:rsidRPr="00F74BFE" w:rsidP="00724207">
      <w:pPr>
        <w:pStyle w:val="WHeading4"/>
        <w:rPr>
          <w:lang w:val="fi-FI"/>
        </w:rPr>
      </w:pPr>
      <w:r w:rsidRPr="00F74BFE">
        <w:rPr>
          <w:lang w:val="fi-FI"/>
        </w:rPr>
        <w:t>Energiamarkkinat</w:t>
      </w:r>
    </w:p>
    <w:p w:rsidR="00351FBD" w:rsidRPr="002B1444" w:rsidP="007A1528">
      <w:pPr>
        <w:pStyle w:val="WNormal"/>
      </w:pPr>
      <w:r w:rsidRPr="002B1444">
        <w:t>Johtaakseen tavoitteensa mukaisesti siirtymää kohti tulevaisuutta, jossa sähkö tuotetaan sataprosenttisesti uusiutuvalla energialla, Wärtsilä lanseerasi Energy Transition Labin</w:t>
      </w:r>
      <w:r w:rsidRPr="002B1444">
        <w:t xml:space="preserve"> eli avoimen data-alustan, joka auttaa energia-alaa ymmärtämään</w:t>
      </w:r>
      <w:r>
        <w:t xml:space="preserve"> sekä</w:t>
      </w:r>
      <w:r w:rsidRPr="002B1444">
        <w:t xml:space="preserve"> </w:t>
      </w:r>
      <w:r w:rsidRPr="00724A8F">
        <w:t>uusiutuvan energian käytön lisääntymisen</w:t>
      </w:r>
      <w:r>
        <w:t xml:space="preserve"> että </w:t>
      </w:r>
      <w:r w:rsidRPr="002B1444">
        <w:t>koronaviru</w:t>
      </w:r>
      <w:r>
        <w:t>spandemian</w:t>
      </w:r>
      <w:r w:rsidRPr="002B1444">
        <w:t xml:space="preserve"> vaikutuksia ja nopeuttamaan energiamurrosta. Työkalu tarjoaa yksityiskohtaista tietoa sähkön tuotannosta, kysynnästä ja </w:t>
      </w:r>
      <w:r w:rsidRPr="002B1444">
        <w:t xml:space="preserve">hinnoittelusta EU-maissa ja Isossa-Britanniassa. Sen avulla käyttäjät voivat mallintaa, kuinka järjestelmät voisivat toimia tulevaisuudessa enemmän uusiutuvia energianlähteitä käyttäen. Työkalu auttaa havaitsemaan ongelmakohdat ja sen, mihin politiikat ja </w:t>
      </w:r>
      <w:r w:rsidRPr="002B1444">
        <w:t>investoinnit kannattaa kohdistaa.</w:t>
      </w:r>
    </w:p>
    <w:p w:rsidR="00B42CAF" w:rsidRPr="002B1444" w:rsidP="007A1528">
      <w:pPr>
        <w:pStyle w:val="WNormal"/>
      </w:pPr>
      <w:r w:rsidRPr="002B1444">
        <w:t xml:space="preserve">Moottoriteknologian kehitykseen liittyvä keskeinen saavutus oli Wärtsilän erittäin tehokkaan 12 MWe:n Wärtsilä 31SG -kaasugeneraattorin saama tyyppihyväksyntä DNV GL -luokituslaitokselta. Kyseessä on </w:t>
      </w:r>
      <w:r w:rsidRPr="002B1444">
        <w:t>maailmanlaajuisesti suurin tämän teknologian mukainen synkroninen generaattori, joka on saanut sertifikaatin täysimittaisen testauksen jälkeen. Sertifiointi varmistaa, että suunnittelu- ja tekniset standardit ovat täysin Saksan sähköverkkokoodien vaatimust</w:t>
      </w:r>
      <w:r w:rsidRPr="002B1444">
        <w:t>en mukaiset. Saksa on ensimmäinen maa Euroopassa, joka on ottanut käyttöön verkkokoodiohjeistuksen. Myös muut maat ovat jo vaatineet tai vaatimassa vastaavan ohjeistuksen noudattamista.</w:t>
      </w:r>
      <w:r w:rsidRPr="002B1444" w:rsidR="002B1444">
        <w:t xml:space="preserve"> Vuoden aikana Wärtsilä ilmoitti myös kehittävänsä kaasumoottoreidensa polttoprosessia, jotta ne voisivat </w:t>
      </w:r>
      <w:r w:rsidR="007A1528">
        <w:t xml:space="preserve">ajan myötä </w:t>
      </w:r>
      <w:r>
        <w:t>käyttää</w:t>
      </w:r>
      <w:r w:rsidRPr="002B1444" w:rsidR="002B1444">
        <w:t xml:space="preserve"> sataprosenttista vetypolttoainetta. Wärtsilä on tutkinut vetyä polttoaineena 20 vuoden ajan ja testannut moottoreitaan seoksilla, jotka sisältävät jopa 60% vetyä ja 40% maakaasua. Tämä kehitys on osa strategiaa, jonka mukaan yhtiö pyrkii varmistamaan moottoriteknologiansa kestävyyden pitkälle tulevaisuuteen maailmanlaajuisen hiilineutraaleihin energia- ja merenkulkumarkkinoihin tähtäävän suuntauksen mukaisesti. Vedyn lisäksi tulevaisuuden sovelluksia varten tutkitaan myös muita mahdollisia uusiutuvia polttoaineita. Wärtsilän moottorit pystyvät jo nyt polttamaan sataprosenttista synteettistä hiilineutraalia metaania ja metanolia.</w:t>
      </w:r>
    </w:p>
    <w:p w:rsidR="00A95810" w:rsidRPr="002B1444" w:rsidP="007A1528">
      <w:pPr>
        <w:pStyle w:val="WNormal"/>
      </w:pPr>
      <w:r w:rsidRPr="002B1444">
        <w:t xml:space="preserve">Kehitysaskeleisiin Power-to-X:n saralla sisältyi Business Finlandin myöntämä </w:t>
      </w:r>
      <w:r w:rsidRPr="002B1444">
        <w:t>rahoitus X-Ahead-projektille sekä Vantaan Energian kanssa solmittu yhteistyösopimus koskien konseptiselvitystä, jossa tutkitaan power-to-gas</w:t>
      </w:r>
      <w:r>
        <w:t xml:space="preserve"> -</w:t>
      </w:r>
      <w:r w:rsidRPr="002B1444">
        <w:t>laitoksen kannattavuutta Vantaan Energian jätevoimalan yhteydessä. X-Ahead-hankkeen tavoitteena on kehittää Power-</w:t>
      </w:r>
      <w:r w:rsidRPr="002B1444">
        <w:t>to-X:n sekä tekniseen että liiketoimintapotentiaaliin liittyvää syvällistä asiantuntemusta, joka edistää hiilineutraalia taloutta Suomessa. Se auttaa myös määrittämään Wärtsilän roolin osana globaalia siirtymää kohti hiilineutraaleja ratkaisuja. Vantaan En</w:t>
      </w:r>
      <w:r w:rsidRPr="002B1444">
        <w:t>ergian power-to-gas</w:t>
      </w:r>
      <w:r>
        <w:t xml:space="preserve"> </w:t>
      </w:r>
      <w:r w:rsidRPr="002B1444">
        <w:t xml:space="preserve">-laitoksen on määrä tuottaa hiilineutraalia synteettistä biokaasua hyödyntäen jätevoimalassa tuotettavaa sähköenergiaa ja syntyvää hiilidioksidia. Yhteistyöhankkeen tarkoituksena on vahvistaa hankkeen optimaalinen koko ja kaukolämmössä </w:t>
      </w:r>
      <w:r w:rsidRPr="002B1444">
        <w:t>käytettävän synteettisen biokaasun kustannukset sekä ymmärtää hankkeen toteuttamisen rajaehdot.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771"/>
      </w:tblGrid>
      <w:tr w14:paraId="437FD244" w14:textId="77777777" w:rsidTr="00AF113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3119"/>
        </w:trPr>
        <w:tc>
          <w:tcPr>
            <w:tcW w:w="4771" w:type="dxa"/>
            <w:tcMar>
              <w:top w:w="0" w:type="dxa"/>
              <w:left w:w="0" w:type="dxa"/>
              <w:bottom w:w="0" w:type="dxa"/>
              <w:right w:w="0" w:type="dxa"/>
            </w:tcMar>
            <w:hideMark/>
          </w:tcPr>
          <w:p w:rsidR="00BF0651" w:rsidP="00024D0C" w14:paraId="11E1FECA" w14:textId="4F6B9A7B">
            <w:pPr>
              <w:pStyle w:val="Subtitle"/>
            </w:pPr>
            <w:r>
              <w:t>Tutkimus</w:t>
            </w:r>
            <w:r>
              <w:t xml:space="preserve">- </w:t>
            </w:r>
            <w:r>
              <w:t>ja</w:t>
            </w:r>
            <w:r>
              <w:t xml:space="preserve"> </w:t>
            </w:r>
            <w:r w:rsidRPr="00024D0C">
              <w:t>kehitysmenot</w:t>
            </w:r>
            <w:r>
              <w:t xml:space="preserve"> </w:t>
            </w:r>
          </w:p>
          <w:p w:rsidR="00BF0651" w:rsidP="00C34042" w14:paraId="25F8591F" w14:textId="239B4C3B">
            <w:pPr>
              <w:rPr>
                <w:color w:val="FF7321"/>
                <w:lang w:val="en-GB"/>
              </w:rPr>
            </w:pPr>
            <w:r>
              <w:drawing>
                <wp:inline>
                  <wp:extent cx="3025688" cy="1620000"/>
                  <wp:docPr id="7" name="Chart_Research and development"/>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bl>
    <w:p w:rsidR="00326EFD" w:rsidRPr="00CD3113" w:rsidP="002F6308" w14:paraId="19B24E4A" w14:textId="77777777">
      <w:pPr>
        <w:pStyle w:val="Wnormal0"/>
        <w:spacing w:after="0" w:line="20" w:lineRule="exact"/>
        <w:rPr>
          <w:lang w:val="en-GB"/>
        </w:rPr>
      </w:pPr>
      <w:bookmarkStart w:id="12" w:name="RG_MARKER_4118"/>
      <w:bookmarkEnd w:id="12"/>
      <w:r>
        <w:t xml:space="preserve"> </w:t>
      </w:r>
    </w:p>
    <w:p w:rsidR="00651511" w:rsidRPr="00524E6E" w:rsidP="004806BE">
      <w:pPr>
        <w:pStyle w:val="WHeading3"/>
      </w:pPr>
      <w:bookmarkStart w:id="13" w:name="RG_MARKER_4984"/>
      <w:r w:rsidRPr="00524E6E">
        <w:t>Strategiset projektit</w:t>
      </w:r>
      <w:bookmarkEnd w:id="13"/>
    </w:p>
    <w:p w:rsidR="006A159A" w:rsidRPr="0077417B" w:rsidP="0077417B">
      <w:pPr>
        <w:pStyle w:val="WNormal"/>
      </w:pPr>
      <w:r w:rsidRPr="0077417B">
        <w:t xml:space="preserve">Helmikuussa Wärtsilä ja DNV GL sopivat tekevänsä yhteistyötä edistääkseen meneillään olevaa meriteollisuuden digitaalista murrosta. Yritykset haluavat erityisesti tutkia tarkemmin digitaalisten teknologioiden käyttömahdollisuuksia, yhteistyöhön perustuvaa </w:t>
      </w:r>
      <w:r w:rsidRPr="0077417B">
        <w:t xml:space="preserve">tiedonjakoa ja standardisointia olemassa olevien tuotteiden ja palvelujen </w:t>
      </w:r>
      <w:r w:rsidR="00BB04EB">
        <w:t xml:space="preserve">suorituskyvyn </w:t>
      </w:r>
      <w:r w:rsidRPr="0077417B">
        <w:t xml:space="preserve">parantamiseksi sekä uusien kehittämiseksi. </w:t>
      </w:r>
      <w:r w:rsidRPr="0077417B" w:rsidR="00524E6E">
        <w:t>Hankkeessa tarkastellaan digitaalisen teknologian soveltamista esimerkiksi autonomisissa aluksissa, edistyksellisissä etäpalveluissa, uusissa komentosiltateknologioissa ja tiedonjaossa. Myös kyberturvallisuus on luonteva yhteistyön alue.</w:t>
      </w:r>
    </w:p>
    <w:p w:rsidR="006A159A" w:rsidRPr="0077417B" w:rsidP="0077417B">
      <w:pPr>
        <w:pStyle w:val="WNormal"/>
      </w:pPr>
      <w:r w:rsidRPr="0077417B">
        <w:t>Maaliskuussa Wärtsilä sai osana yhteenliittymää, johon kuuluu lisäksi kuusi muuta teollis</w:t>
      </w:r>
      <w:r w:rsidRPr="0077417B" w:rsidR="00524E6E">
        <w:t>ta</w:t>
      </w:r>
      <w:r w:rsidRPr="0077417B">
        <w:t xml:space="preserve"> ja akateemista kumppania, EU-rahoitusta </w:t>
      </w:r>
      <w:r w:rsidRPr="0077417B">
        <w:t>SeaTech</w:t>
      </w:r>
      <w:r w:rsidRPr="0077417B">
        <w:t>-nim</w:t>
      </w:r>
      <w:r w:rsidRPr="0077417B">
        <w:t xml:space="preserve">iseen suurhankkeeseen. Hankkeen tavoitteena on vähentää polttoaineenkulutusta ja alentaa merenkulun päästöjä kehittämällä laivamoottori- ja </w:t>
      </w:r>
      <w:r w:rsidRPr="0077417B">
        <w:t>propulsiojärjestelmiä</w:t>
      </w:r>
      <w:r w:rsidRPr="0077417B">
        <w:t xml:space="preserve">, jotka </w:t>
      </w:r>
      <w:r w:rsidRPr="0077417B" w:rsidR="00524E6E">
        <w:t xml:space="preserve">mahdollistavat </w:t>
      </w:r>
      <w:r w:rsidRPr="0077417B">
        <w:t>moottori</w:t>
      </w:r>
      <w:r w:rsidRPr="0077417B" w:rsidR="00524E6E">
        <w:t>n</w:t>
      </w:r>
      <w:r w:rsidRPr="0077417B">
        <w:t xml:space="preserve"> tarka</w:t>
      </w:r>
      <w:r w:rsidRPr="0077417B" w:rsidR="00524E6E">
        <w:t>n ohjauksen</w:t>
      </w:r>
      <w:r w:rsidRPr="0077417B">
        <w:t xml:space="preserve"> ja aaltoenergia</w:t>
      </w:r>
      <w:r w:rsidRPr="0077417B" w:rsidR="00524E6E">
        <w:t>n käytön</w:t>
      </w:r>
      <w:r w:rsidRPr="0077417B">
        <w:t xml:space="preserve"> lisätyöntövoiman tuot</w:t>
      </w:r>
      <w:r w:rsidRPr="0077417B">
        <w:t>tamise</w:t>
      </w:r>
      <w:r w:rsidRPr="0077417B" w:rsidR="00524E6E">
        <w:t>ksi</w:t>
      </w:r>
      <w:r w:rsidRPr="0077417B">
        <w:t xml:space="preserve">. Lisäksi Wärtsilä </w:t>
      </w:r>
      <w:r w:rsidRPr="0077417B" w:rsidR="00524E6E">
        <w:t>solmi</w:t>
      </w:r>
      <w:r w:rsidRPr="0077417B">
        <w:t xml:space="preserve"> japanilaisen </w:t>
      </w:r>
      <w:r w:rsidRPr="0077417B">
        <w:t>Kuribayashi</w:t>
      </w:r>
      <w:r w:rsidRPr="0077417B">
        <w:t xml:space="preserve"> </w:t>
      </w:r>
      <w:r w:rsidRPr="0077417B">
        <w:t>Steamshipin</w:t>
      </w:r>
      <w:r w:rsidRPr="0077417B">
        <w:t xml:space="preserve"> kanssa lisenssi- ja yhteistyösopimuksen, joka koskee porttiperäsinten tulevaisuuden kehitystä, myyntiä ja huoltoa. Valtuutettuna lisenssinhaltijana ja yhteistyökumppanina Wärtsilä aikoo</w:t>
      </w:r>
      <w:r w:rsidRPr="0077417B">
        <w:t xml:space="preserve"> integroida porttiperäsimet </w:t>
      </w:r>
      <w:r w:rsidRPr="0077417B">
        <w:t>propulsiotuotteisiinsa</w:t>
      </w:r>
      <w:r w:rsidRPr="0077417B">
        <w:t xml:space="preserve"> ja keskitty</w:t>
      </w:r>
      <w:r w:rsidRPr="0077417B" w:rsidR="00524E6E">
        <w:t>y</w:t>
      </w:r>
      <w:r w:rsidRPr="0077417B">
        <w:t xml:space="preserve"> Japanin ulkopuol</w:t>
      </w:r>
      <w:r w:rsidRPr="0077417B" w:rsidR="00524E6E">
        <w:t>isiin maailmanlaajuisiin markkinoihin</w:t>
      </w:r>
      <w:r w:rsidRPr="0077417B">
        <w:t>. Porttiperäsintekniikka vähentää polttoaineenkulutusta ja päästöjä parantaen samalla ohjattavuutta ja kurssin vakautta sekä tyynellä sääll</w:t>
      </w:r>
      <w:r w:rsidRPr="0077417B">
        <w:t>ä että kovassa merenkäynnissä.</w:t>
      </w:r>
    </w:p>
    <w:p w:rsidR="006A159A" w:rsidRPr="0077417B" w:rsidP="0077417B">
      <w:pPr>
        <w:pStyle w:val="WNormal"/>
      </w:pPr>
      <w:r w:rsidRPr="0077417B">
        <w:t xml:space="preserve">Kesäkuussa Wärtsilä liittyi maailmanlaajuiseen konsortioon kehittämään </w:t>
      </w:r>
      <w:r w:rsidRPr="0077417B">
        <w:t>Mayflower</w:t>
      </w:r>
      <w:r w:rsidRPr="0077417B">
        <w:t xml:space="preserve"> </w:t>
      </w:r>
      <w:r w:rsidRPr="0077417B">
        <w:t>Autonomous</w:t>
      </w:r>
      <w:r w:rsidRPr="0077417B">
        <w:t xml:space="preserve"> -laivaprojektia, joka mahdollistaa maailman ensimmäisen täysin autonomisen, miehittämättömän aluksen Atlantin ylityksen. Wärtsilä </w:t>
      </w:r>
      <w:r w:rsidRPr="0077417B" w:rsidR="002A50D5">
        <w:t>Voyage</w:t>
      </w:r>
      <w:r w:rsidRPr="0077417B" w:rsidR="002A50D5">
        <w:t xml:space="preserve"> </w:t>
      </w:r>
      <w:r w:rsidRPr="0077417B">
        <w:t xml:space="preserve">toimittaa laivaan Wärtsilä RS24 -järjestelmän, uraauurtavan nopean, korkearesoluutioisen FMCW K-Band -tutkan, joka on suunniteltu tarjoamaan optimaalinen tilannekuva etenkin ahtaissa merenkulkuympäristöissä. </w:t>
      </w:r>
      <w:r w:rsidRPr="0077417B" w:rsidR="002A50D5">
        <w:t xml:space="preserve">Lisäksi </w:t>
      </w:r>
      <w:r w:rsidRPr="0077417B">
        <w:t>Wärtsilä perusti yhdessä ING Bankin,</w:t>
      </w:r>
      <w:r w:rsidRPr="0077417B">
        <w:t xml:space="preserve"> Engien ja Rotterdamin satamaviranomaisen kanssa Zero Emission Services B.V. (ZES) -yrityksen, jonka tavoitteena on tehdä sisävesiliikenteestä kestävämpää. Konsepti perustuu uusiutuvalla energialla ladattujen vaihdettavien akkukonttien käyttöön. Konseptia </w:t>
      </w:r>
      <w:r w:rsidRPr="0077417B">
        <w:t xml:space="preserve">käyttää tulevaisuudessa </w:t>
      </w:r>
      <w:r>
        <w:t xml:space="preserve">muun muassa </w:t>
      </w:r>
      <w:r w:rsidRPr="0077417B">
        <w:t>Heineken</w:t>
      </w:r>
      <w:r w:rsidRPr="0077417B">
        <w:t>-olutyhtiö, ja sitä tukee Alankomaiden infrastruktuuri- ja vesiministeriö.</w:t>
      </w:r>
    </w:p>
    <w:p w:rsidR="00B4426B" w:rsidRPr="0077417B" w:rsidP="0077417B">
      <w:pPr>
        <w:pStyle w:val="WNormal"/>
      </w:pPr>
      <w:r w:rsidRPr="0077417B">
        <w:t>Heinäkuussa Wärtsilä liittyi kuljetus- ja logistiikka-al</w:t>
      </w:r>
      <w:r w:rsidRPr="0077417B" w:rsidR="002A50D5">
        <w:t>oje</w:t>
      </w:r>
      <w:r w:rsidRPr="0077417B">
        <w:t>n energiamurroksen nopeuttamiseen tähtäävään maailmanlaajuiseen koalitioon yhd</w:t>
      </w:r>
      <w:r w:rsidRPr="0077417B">
        <w:t xml:space="preserve">essä markkinoiden johtavien yritysten kanssa, jotka edustavat laajaa joukkoa alan sidosryhmiä. Koalition tavoitteena on edistää energialähteiden ja teknologioiden kehitystä ilmaston lämpenemisen hillitsemiseksi, ilmansaasteiden vähentämiseksi ja </w:t>
      </w:r>
      <w:r w:rsidRPr="0077417B">
        <w:t>biodiversi</w:t>
      </w:r>
      <w:r w:rsidRPr="0077417B">
        <w:t>teetin</w:t>
      </w:r>
      <w:r w:rsidRPr="0077417B">
        <w:t xml:space="preserve"> suojelemiseksi. Jäsenet yhdistävät tutkimus- ja kehitystyönsä kolmen keskeisen tavoitteen saavuttamiseksi: puhtaiden energialähteiden laajemman valikoiman käyttöönotto, kuljetettujen tavaroiden energiankulutuksen vähentäminen kilometriä kohti ja</w:t>
      </w:r>
      <w:r w:rsidRPr="0077417B" w:rsidR="002A50D5">
        <w:t xml:space="preserve"> ilmakehään joutuvien</w:t>
      </w:r>
      <w:r w:rsidRPr="0077417B">
        <w:t xml:space="preserve"> haitallisten päästöjen </w:t>
      </w:r>
      <w:r w:rsidRPr="0077417B" w:rsidR="002A50D5">
        <w:t>eliminointi</w:t>
      </w:r>
      <w:r w:rsidRPr="0077417B">
        <w:t xml:space="preserve"> merkittävissä määrin.</w:t>
      </w:r>
    </w:p>
    <w:p w:rsidR="002A50D5" w:rsidRPr="0077417B" w:rsidP="0077417B">
      <w:pPr>
        <w:pStyle w:val="WNormal"/>
      </w:pPr>
      <w:r w:rsidRPr="0077417B">
        <w:t xml:space="preserve">Lokakuussa Wärtsilä allekirjoitti yhteisymmärryspöytäkirjan, joka </w:t>
      </w:r>
      <w:r w:rsidRPr="0077417B" w:rsidR="00E05683">
        <w:t>liittyy</w:t>
      </w:r>
      <w:r w:rsidRPr="0077417B">
        <w:t xml:space="preserve"> </w:t>
      </w:r>
      <w:r w:rsidRPr="0077417B" w:rsidR="00E05683">
        <w:t xml:space="preserve">roottoripurjeiden myyntiä ja huoltoa koskevaan </w:t>
      </w:r>
      <w:r w:rsidRPr="0077417B">
        <w:t xml:space="preserve">lisenssi- ja yhteistyösopimukseen brittiläisen </w:t>
      </w:r>
      <w:r w:rsidRPr="0077417B">
        <w:t>Anemoi</w:t>
      </w:r>
      <w:r w:rsidRPr="0077417B">
        <w:t xml:space="preserve"> </w:t>
      </w:r>
      <w:r w:rsidRPr="0077417B">
        <w:t>Marine</w:t>
      </w:r>
      <w:r w:rsidRPr="0077417B">
        <w:t xml:space="preserve"> Technologiesin kanssa. Roottoripurjeet koostuvat pystysylinter</w:t>
      </w:r>
      <w:r w:rsidRPr="0077417B" w:rsidR="00E05683">
        <w:t>e</w:t>
      </w:r>
      <w:r w:rsidRPr="0077417B">
        <w:t>istä, jotka pyöri</w:t>
      </w:r>
      <w:r w:rsidRPr="0077417B" w:rsidR="00E05683">
        <w:t>essään</w:t>
      </w:r>
      <w:r w:rsidRPr="0077417B">
        <w:t xml:space="preserve"> </w:t>
      </w:r>
      <w:r w:rsidRPr="0077417B" w:rsidR="00E05683">
        <w:t>hyödyntävät</w:t>
      </w:r>
      <w:r w:rsidRPr="0077417B">
        <w:t xml:space="preserve"> uusiutuvaa </w:t>
      </w:r>
      <w:r w:rsidRPr="0077417B" w:rsidR="00E05683">
        <w:t>tuuli</w:t>
      </w:r>
      <w:r w:rsidRPr="0077417B">
        <w:t xml:space="preserve">voimaa alusten </w:t>
      </w:r>
      <w:r w:rsidRPr="0077417B" w:rsidR="00E05683">
        <w:t>liikuttamisessa</w:t>
      </w:r>
      <w:r w:rsidRPr="0077417B">
        <w:t>. Nämä erittäin tehokkaat mekaaniset purjeet lisäävät</w:t>
      </w:r>
      <w:r w:rsidRPr="0077417B" w:rsidR="00E05683">
        <w:t xml:space="preserve"> alusten</w:t>
      </w:r>
      <w:r w:rsidRPr="0077417B">
        <w:t xml:space="preserve"> työntövoimaa </w:t>
      </w:r>
      <w:r w:rsidRPr="0077417B" w:rsidR="00E05683">
        <w:t>sekä</w:t>
      </w:r>
      <w:r w:rsidRPr="0077417B">
        <w:t xml:space="preserve"> </w:t>
      </w:r>
      <w:r w:rsidRPr="0077417B" w:rsidR="00E05683">
        <w:t>vähentävät</w:t>
      </w:r>
      <w:r w:rsidRPr="0077417B">
        <w:t xml:space="preserve"> huomattavasti poltt</w:t>
      </w:r>
      <w:r w:rsidRPr="0077417B">
        <w:t>oaine</w:t>
      </w:r>
      <w:r w:rsidRPr="0077417B" w:rsidR="00E05683">
        <w:t>enkulutusta</w:t>
      </w:r>
      <w:r w:rsidRPr="0077417B">
        <w:t xml:space="preserve"> ja päästöjä. Wärtsilä integroi </w:t>
      </w:r>
      <w:r w:rsidRPr="0077417B">
        <w:t>Anemoi</w:t>
      </w:r>
      <w:r w:rsidRPr="0077417B">
        <w:t xml:space="preserve"> </w:t>
      </w:r>
      <w:r w:rsidRPr="0077417B">
        <w:t>Marine</w:t>
      </w:r>
      <w:r w:rsidRPr="0077417B">
        <w:t xml:space="preserve"> Technologiesin roottoripurje</w:t>
      </w:r>
      <w:r w:rsidRPr="0077417B" w:rsidR="0077417B">
        <w:t>e</w:t>
      </w:r>
      <w:r w:rsidRPr="0077417B">
        <w:t xml:space="preserve">t </w:t>
      </w:r>
      <w:r w:rsidRPr="0077417B">
        <w:t>propulsioliiketoimintaansa</w:t>
      </w:r>
      <w:r w:rsidRPr="0077417B" w:rsidR="0077417B">
        <w:t xml:space="preserve"> täysin</w:t>
      </w:r>
      <w:r w:rsidRPr="0077417B">
        <w:t xml:space="preserve"> ja edistää ratkaisu</w:t>
      </w:r>
      <w:r w:rsidRPr="0077417B" w:rsidR="0077417B">
        <w:t>n käyttöä</w:t>
      </w:r>
      <w:r w:rsidRPr="0077417B">
        <w:t xml:space="preserve"> sekä </w:t>
      </w:r>
      <w:r w:rsidRPr="0077417B" w:rsidR="0077417B">
        <w:t>uusissa että olemassa olevissa aluksissa</w:t>
      </w:r>
      <w:r w:rsidRPr="0077417B">
        <w:t>.</w:t>
      </w:r>
    </w:p>
    <w:p w:rsidR="006A159A" w:rsidRPr="0077417B" w:rsidP="0077417B">
      <w:pPr>
        <w:pStyle w:val="WNormal"/>
      </w:pPr>
      <w:r w:rsidRPr="00F64F57">
        <w:t>Joulukuussa Wärtsilä liittyi CHEK-projektiin, jonka t</w:t>
      </w:r>
      <w:r w:rsidRPr="00F64F57">
        <w:t>avoitteena on päästötön merenkulku. Hankkeessa kehitetään ja esitellään tuulienergialle optimoitu irtolastialus ja vetykäyttöinen risteilyalus, jo</w:t>
      </w:r>
      <w:r w:rsidRPr="00F64F57" w:rsidR="0077417B">
        <w:t>t</w:t>
      </w:r>
      <w:r w:rsidRPr="00F64F57">
        <w:t>ka on varustettu innovatiivisi</w:t>
      </w:r>
      <w:r w:rsidRPr="00F64F57" w:rsidR="0077417B">
        <w:t>ll</w:t>
      </w:r>
      <w:r w:rsidRPr="00F64F57">
        <w:t>a tekn</w:t>
      </w:r>
      <w:r w:rsidRPr="00F64F57" w:rsidR="0077417B">
        <w:t>ologioilla, jotka</w:t>
      </w:r>
      <w:r w:rsidRPr="00F64F57">
        <w:t xml:space="preserve"> vähentä</w:t>
      </w:r>
      <w:r w:rsidRPr="00F64F57" w:rsidR="0077417B">
        <w:t>vät</w:t>
      </w:r>
      <w:r w:rsidRPr="00F64F57">
        <w:t xml:space="preserve"> kasvihuonekaasupäästöjä 99%, saavutta</w:t>
      </w:r>
      <w:r w:rsidRPr="00F64F57" w:rsidR="0077417B">
        <w:t>vat</w:t>
      </w:r>
      <w:r w:rsidRPr="00F64F57">
        <w:t xml:space="preserve"> vähintään 50%</w:t>
      </w:r>
      <w:r w:rsidRPr="00F64F57" w:rsidR="0077417B">
        <w:t>:n</w:t>
      </w:r>
      <w:r w:rsidRPr="00F64F57">
        <w:t xml:space="preserve"> energiansäästö</w:t>
      </w:r>
      <w:r w:rsidRPr="00F64F57" w:rsidR="0077417B">
        <w:t>t</w:t>
      </w:r>
      <w:r w:rsidRPr="00F64F57">
        <w:t xml:space="preserve"> ja vähentä</w:t>
      </w:r>
      <w:r w:rsidRPr="00F64F57" w:rsidR="0077417B">
        <w:t>vät</w:t>
      </w:r>
      <w:r w:rsidRPr="00F64F57">
        <w:t xml:space="preserve"> mustan hiilen päästöjä yli 95%. CHEK-kumppanit ovat V</w:t>
      </w:r>
      <w:r w:rsidRPr="00F64F57" w:rsidR="0077417B">
        <w:t>aasan</w:t>
      </w:r>
      <w:r w:rsidRPr="00F64F57">
        <w:t xml:space="preserve"> </w:t>
      </w:r>
      <w:r w:rsidRPr="00F64F57" w:rsidR="0077417B">
        <w:t>yliopisto</w:t>
      </w:r>
      <w:r w:rsidRPr="00F64F57">
        <w:t xml:space="preserve"> (koordinaattori), Wärtsilä, </w:t>
      </w:r>
      <w:r w:rsidRPr="00F64F57">
        <w:t>Cargill</w:t>
      </w:r>
      <w:r w:rsidRPr="00F64F57">
        <w:t xml:space="preserve"> International, MSC </w:t>
      </w:r>
      <w:r w:rsidRPr="00F64F57">
        <w:t>Cruises</w:t>
      </w:r>
      <w:r w:rsidRPr="00F64F57">
        <w:t xml:space="preserve">, </w:t>
      </w:r>
      <w:r w:rsidRPr="00F64F57">
        <w:t>Lloyd's</w:t>
      </w:r>
      <w:r w:rsidRPr="00F64F57">
        <w:t xml:space="preserve"> </w:t>
      </w:r>
      <w:r w:rsidRPr="00F64F57" w:rsidR="0077417B">
        <w:t>R</w:t>
      </w:r>
      <w:r w:rsidRPr="00F64F57">
        <w:t>egister</w:t>
      </w:r>
      <w:r w:rsidRPr="00F64F57">
        <w:t xml:space="preserve">, World </w:t>
      </w:r>
      <w:r w:rsidRPr="00F64F57">
        <w:t>Maritime</w:t>
      </w:r>
      <w:r w:rsidRPr="00F64F57">
        <w:t xml:space="preserve"> </w:t>
      </w:r>
      <w:r w:rsidRPr="00F64F57">
        <w:t>Un</w:t>
      </w:r>
      <w:r w:rsidRPr="00F64F57">
        <w:t>iversity</w:t>
      </w:r>
      <w:r w:rsidRPr="00F64F57">
        <w:t xml:space="preserve">, </w:t>
      </w:r>
      <w:r w:rsidRPr="00F64F57">
        <w:t>Silverstream</w:t>
      </w:r>
      <w:r w:rsidRPr="00F64F57">
        <w:t xml:space="preserve"> Technologies, HASYTEC </w:t>
      </w:r>
      <w:r w:rsidRPr="00F64F57">
        <w:t>Electronics</w:t>
      </w:r>
      <w:r w:rsidRPr="00F64F57">
        <w:t xml:space="preserve">, Deltamarin, </w:t>
      </w:r>
      <w:r w:rsidRPr="00F64F57">
        <w:t>Climeon</w:t>
      </w:r>
      <w:r w:rsidRPr="00F64F57">
        <w:t xml:space="preserve"> ja BAR Technologies.</w:t>
      </w:r>
    </w:p>
    <w:p w:rsidR="00073372" w:rsidRPr="00073372" w:rsidP="000C0A20">
      <w:pPr>
        <w:pStyle w:val="WHeading3"/>
      </w:pPr>
      <w:bookmarkStart w:id="14" w:name="RG_MARKER_4978"/>
      <w:r>
        <w:t>Muutokset resursoinnissa</w:t>
      </w:r>
      <w:bookmarkEnd w:id="14"/>
    </w:p>
    <w:p w:rsidR="008A25DE" w:rsidRPr="008A25DE" w:rsidP="000C0A20">
      <w:pPr>
        <w:pStyle w:val="WNormal"/>
      </w:pPr>
      <w:r w:rsidRPr="00E34EB9">
        <w:t>Maaliskuussa Wärtsilä ilmoitti ennakoivista toimenpiteistä, joilla pyrit</w:t>
      </w:r>
      <w:r>
        <w:t>täisiin</w:t>
      </w:r>
      <w:r w:rsidRPr="00E34EB9">
        <w:t xml:space="preserve"> minimoimaan koronaviruspandemian ja sen hillitsemiseksi </w:t>
      </w:r>
      <w:r w:rsidR="004A0C53">
        <w:t>käynnistettyjen</w:t>
      </w:r>
      <w:r w:rsidRPr="00E34EB9">
        <w:t xml:space="preserve"> toimenpiteiden negatiiviset vaikutukset liiketoimintaan. Toimenpiteisiin sisälty</w:t>
      </w:r>
      <w:r>
        <w:t>ivät</w:t>
      </w:r>
      <w:r w:rsidRPr="00E34EB9">
        <w:t xml:space="preserve"> työtuntien vähentäminen, lomautu</w:t>
      </w:r>
      <w:r>
        <w:t>kset</w:t>
      </w:r>
      <w:r w:rsidRPr="00E34EB9">
        <w:t xml:space="preserve">, rekrytoinnin rajoittaminen sekä ulkoisen henkilöstön ja konsulttien käytön vähentäminen. </w:t>
      </w:r>
      <w:r>
        <w:t>Myös</w:t>
      </w:r>
      <w:r w:rsidRPr="00E34EB9">
        <w:t xml:space="preserve"> harkinnanvaraisia kuluja vähennet</w:t>
      </w:r>
      <w:r>
        <w:t>tiin</w:t>
      </w:r>
      <w:r w:rsidRPr="00E34EB9">
        <w:t xml:space="preserve"> </w:t>
      </w:r>
      <w:r w:rsidRPr="00E34EB9">
        <w:t>ja muita kuin kriittisiä kehitysprojekteja lykät</w:t>
      </w:r>
      <w:r>
        <w:t>tiin</w:t>
      </w:r>
      <w:r w:rsidRPr="00E34EB9">
        <w:t xml:space="preserve">. </w:t>
      </w:r>
      <w:r w:rsidRPr="00CF301C">
        <w:t>Väliaikaisia kustannusten vähentämistoimenpiteitä</w:t>
      </w:r>
      <w:r>
        <w:t xml:space="preserve"> koskevia päätöksiä</w:t>
      </w:r>
      <w:r w:rsidRPr="00CF301C">
        <w:t xml:space="preserve"> </w:t>
      </w:r>
      <w:r>
        <w:t>teht</w:t>
      </w:r>
      <w:r w:rsidR="004A0C53">
        <w:t>iin</w:t>
      </w:r>
      <w:r>
        <w:t xml:space="preserve"> </w:t>
      </w:r>
      <w:r w:rsidRPr="00CF301C">
        <w:t>keskeisissä maissa</w:t>
      </w:r>
      <w:r w:rsidR="004A0C53">
        <w:t>, joissa niitä pidettiin tarpeellisina</w:t>
      </w:r>
      <w:r w:rsidRPr="00CF301C">
        <w:t>.</w:t>
      </w:r>
      <w:r w:rsidRPr="00E34EB9">
        <w:t xml:space="preserve"> </w:t>
      </w:r>
      <w:r w:rsidRPr="004A0C53" w:rsidR="004A0C53">
        <w:t>Toteutettujen t</w:t>
      </w:r>
      <w:r w:rsidRPr="004A0C53">
        <w:t>oimenpite</w:t>
      </w:r>
      <w:r w:rsidRPr="004A0C53" w:rsidR="004A0C53">
        <w:t xml:space="preserve">iden </w:t>
      </w:r>
      <w:r w:rsidR="004A0C53">
        <w:t>myötä</w:t>
      </w:r>
      <w:r w:rsidRPr="004A0C53" w:rsidR="004A0C53">
        <w:t xml:space="preserve"> vuoden aikana kirjattiin alkuperäisten odotusten mukaisesti </w:t>
      </w:r>
      <w:r w:rsidRPr="004A0C53">
        <w:t xml:space="preserve">väliaikaisia kustannussäästöjä noin </w:t>
      </w:r>
      <w:r w:rsidRPr="00D1006C">
        <w:t xml:space="preserve">100 </w:t>
      </w:r>
      <w:r w:rsidRPr="004A0C53">
        <w:t xml:space="preserve">miljoonaa euroa. Markkinatilannetta </w:t>
      </w:r>
      <w:r w:rsidRPr="00E34EB9">
        <w:t>seurataan jatkuvasti, ja lisätoimenpiteitä tehdään tarpeen mukaan.</w:t>
      </w:r>
    </w:p>
    <w:p w:rsidR="000646BE" w:rsidRPr="00B26B19" w:rsidP="005C46F1">
      <w:pPr>
        <w:pStyle w:val="WHeading3"/>
      </w:pPr>
      <w:bookmarkStart w:id="15" w:name="RG_MARKER_4982"/>
      <w:r w:rsidRPr="00B26B19">
        <w:t>Muutokset organisaatiorakentees</w:t>
      </w:r>
      <w:bookmarkEnd w:id="15"/>
      <w:r>
        <w:t>sa</w:t>
      </w:r>
    </w:p>
    <w:p w:rsidR="00126558" w:rsidRPr="0036648E" w:rsidP="005C46F1">
      <w:pPr>
        <w:pStyle w:val="WNormal"/>
      </w:pPr>
      <w:r w:rsidRPr="0036648E">
        <w:t xml:space="preserve">Wärtsilän uusi organisaatiorakenne </w:t>
      </w:r>
      <w:r>
        <w:t>astui voimaan</w:t>
      </w:r>
      <w:r w:rsidRPr="0036648E">
        <w:t xml:space="preserve"> 1.7.2020. Uuden rakenteen avulla Wärtsilä pyrkii nopeuttamaan strategian toteutusta ja parantamaan pitkän aikavälin tuloksentekokykyä. Marine Power, Marine Systems ja Energy keskittyvät kannattavaan kasvuun vahvistamalla tarjoomiaan ja tuotteiden koko eli</w:t>
      </w:r>
      <w:r w:rsidRPr="0036648E">
        <w:t>nkaaren kattavia arvolupauksiaan.</w:t>
      </w:r>
      <w:r>
        <w:t xml:space="preserve"> </w:t>
      </w:r>
      <w:r w:rsidRPr="0036648E">
        <w:t>Viime vuosina tehtyjen Eniram</w:t>
      </w:r>
      <w:r>
        <w:t>in</w:t>
      </w:r>
      <w:r w:rsidRPr="0036648E">
        <w:t xml:space="preserve"> ja Transasin kaltaisten useiden yritysostojen myötä muodostunut Voyage tekee Wärtsilästä kaupallise</w:t>
      </w:r>
      <w:r>
        <w:t>n</w:t>
      </w:r>
      <w:r w:rsidRPr="0036648E">
        <w:t xml:space="preserve"> meriteollisuude</w:t>
      </w:r>
      <w:r>
        <w:t>n</w:t>
      </w:r>
      <w:r w:rsidRPr="0036648E">
        <w:t xml:space="preserve"> digitaalis</w:t>
      </w:r>
      <w:r>
        <w:t>t</w:t>
      </w:r>
      <w:r w:rsidRPr="0036648E">
        <w:t>en</w:t>
      </w:r>
      <w:r>
        <w:t xml:space="preserve"> ratkaisujen</w:t>
      </w:r>
      <w:r w:rsidRPr="0036648E">
        <w:t xml:space="preserve"> markkinajohtajan. </w:t>
      </w:r>
      <w:r>
        <w:t>L</w:t>
      </w:r>
      <w:r>
        <w:t>uodakseen</w:t>
      </w:r>
      <w:r w:rsidRPr="0036648E">
        <w:t xml:space="preserve"> pohjan pitkän aikavälin kestävälle ja kannattavalle kasvulle</w:t>
      </w:r>
      <w:r w:rsidRPr="0036648E">
        <w:t xml:space="preserve"> </w:t>
      </w:r>
      <w:r w:rsidRPr="0036648E">
        <w:t>Voyage keskittyy liiketoimin</w:t>
      </w:r>
      <w:r w:rsidRPr="0036648E">
        <w:t>nan skaalaamiseen ja kehittämiseen</w:t>
      </w:r>
      <w:r>
        <w:t xml:space="preserve"> toteuttamalla </w:t>
      </w:r>
      <w:r>
        <w:t>jatkuvasti</w:t>
      </w:r>
      <w:r>
        <w:t xml:space="preserve"> investointeja</w:t>
      </w:r>
      <w:r>
        <w:t xml:space="preserve"> tutkimukseen ja kehitykseen sekä myyntiin ja markkinointiin</w:t>
      </w:r>
      <w:r w:rsidRPr="0036648E">
        <w:t>. Portfolio Business</w:t>
      </w:r>
      <w:r>
        <w:t xml:space="preserve">ia johdetaan </w:t>
      </w:r>
      <w:r w:rsidRPr="0036648E">
        <w:t>itsenäisenä lii</w:t>
      </w:r>
      <w:r w:rsidRPr="0036648E">
        <w:t>ketoimintakokonaisuutena, jonka tavoitteena on vapauttaa sellaisten liiketoimintayksikköjen koko potentiaali, jotka eivät ole Wärtsilän strategian kannalta keskeisiä.</w:t>
      </w:r>
    </w:p>
    <w:p w:rsidR="00693A60" w:rsidRPr="00FF2174" w:rsidP="00142591" w14:paraId="5AE68E3E" w14:textId="1D645202">
      <w:pPr>
        <w:pStyle w:val="WHeading3"/>
      </w:pPr>
      <w:bookmarkStart w:id="16" w:name="RG_MARKER_3916"/>
      <w:r w:rsidRPr="00FF2174">
        <w:t>Henkilöstö</w:t>
      </w:r>
      <w:bookmarkEnd w:id="16"/>
    </w:p>
    <w:p w:rsidR="005C3410" w:rsidRPr="00142591" w:rsidP="005C3410" w14:paraId="5A579516" w14:textId="32FA0A66">
      <w:pPr>
        <w:pStyle w:val="WNormal"/>
        <w:spacing w:after="240" w:line="276" w:lineRule="auto"/>
        <w:rPr>
          <w:spacing w:val="2"/>
          <w:lang w:val="en-GB"/>
        </w:rPr>
      </w:pPr>
      <w:r w:rsidRPr="005C3410">
        <w:rPr>
          <w:spacing w:val="2"/>
        </w:rPr>
        <w:t xml:space="preserve">Wärtsilän henkilöstömäärä oli </w:t>
      </w:r>
      <w:r>
        <w:rPr>
          <w:spacing w:val="2"/>
        </w:rPr>
        <w:t>vuoden</w:t>
      </w:r>
      <w:r w:rsidRPr="005C3410">
        <w:rPr>
          <w:spacing w:val="2"/>
        </w:rPr>
        <w:t xml:space="preserve"> lopussa </w:t>
      </w:r>
      <w:r w:rsidRPr="005C3410">
        <w:rPr>
          <w:spacing w:val="2"/>
        </w:rPr>
        <w:t>17 792</w:t>
      </w:r>
      <w:r w:rsidRPr="005C3410">
        <w:rPr>
          <w:spacing w:val="2"/>
        </w:rPr>
        <w:t xml:space="preserve"> (</w:t>
      </w:r>
      <w:r w:rsidRPr="005C3410">
        <w:rPr>
          <w:spacing w:val="2"/>
        </w:rPr>
        <w:t>18 795</w:t>
      </w:r>
      <w:r w:rsidRPr="005C3410">
        <w:rPr>
          <w:spacing w:val="2"/>
        </w:rPr>
        <w:t xml:space="preserve">). </w:t>
      </w:r>
      <w:r w:rsidRPr="00142591">
        <w:rPr>
          <w:spacing w:val="2"/>
          <w:lang w:val="en-GB"/>
        </w:rPr>
        <w:t>Keskimääräinen</w:t>
      </w:r>
      <w:r w:rsidRPr="00142591">
        <w:rPr>
          <w:spacing w:val="2"/>
          <w:lang w:val="en-GB"/>
        </w:rPr>
        <w:t xml:space="preserve"> </w:t>
      </w:r>
      <w:r w:rsidRPr="00142591">
        <w:rPr>
          <w:spacing w:val="2"/>
          <w:lang w:val="en-GB"/>
        </w:rPr>
        <w:t>henkilöstömäärä</w:t>
      </w:r>
      <w:r w:rsidRPr="00142591">
        <w:rPr>
          <w:spacing w:val="2"/>
          <w:lang w:val="en-GB"/>
        </w:rPr>
        <w:t xml:space="preserve"> </w:t>
      </w:r>
      <w:r w:rsidRPr="00142591">
        <w:rPr>
          <w:spacing w:val="2"/>
          <w:lang w:val="en-GB"/>
        </w:rPr>
        <w:t>oli</w:t>
      </w:r>
      <w:r w:rsidRPr="00142591">
        <w:rPr>
          <w:spacing w:val="2"/>
          <w:lang w:val="en-GB"/>
        </w:rPr>
        <w:t xml:space="preserve"> </w:t>
      </w:r>
      <w:r w:rsidRPr="00142591">
        <w:rPr>
          <w:spacing w:val="2"/>
          <w:lang w:val="en-GB"/>
        </w:rPr>
        <w:t>vuonna</w:t>
      </w:r>
      <w:r w:rsidRPr="00142591">
        <w:rPr>
          <w:spacing w:val="2"/>
          <w:lang w:val="en-GB"/>
        </w:rPr>
        <w:t xml:space="preserve"> </w:t>
      </w:r>
      <w:r w:rsidRPr="00142591">
        <w:rPr>
          <w:spacing w:val="2"/>
          <w:lang w:val="en-GB"/>
        </w:rPr>
        <w:t>2020</w:t>
      </w:r>
      <w:r w:rsidRPr="00142591">
        <w:rPr>
          <w:spacing w:val="2"/>
          <w:lang w:val="en-GB"/>
        </w:rPr>
        <w:t xml:space="preserve"> </w:t>
      </w:r>
      <w:r w:rsidRPr="00142591">
        <w:rPr>
          <w:spacing w:val="2"/>
          <w:lang w:val="en-GB"/>
        </w:rPr>
        <w:t>18 307</w:t>
      </w:r>
      <w:r w:rsidRPr="00142591">
        <w:rPr>
          <w:spacing w:val="2"/>
          <w:lang w:val="en-GB"/>
        </w:rPr>
        <w:t xml:space="preserve"> (</w:t>
      </w:r>
      <w:r w:rsidRPr="00142591">
        <w:rPr>
          <w:spacing w:val="2"/>
          <w:lang w:val="en-GB"/>
        </w:rPr>
        <w:t>19 110</w:t>
      </w:r>
      <w:r w:rsidRPr="00142591">
        <w:rPr>
          <w:spacing w:val="2"/>
          <w:lang w:val="en-GB"/>
        </w:rPr>
        <w:t>).</w:t>
      </w:r>
    </w:p>
    <w:p w:rsidR="006070B9" w:rsidRPr="005C3410" w:rsidP="005C3410" w14:paraId="74812A22" w14:textId="6CFF4688">
      <w:pPr>
        <w:pStyle w:val="WNormal"/>
        <w:spacing w:after="240" w:line="276" w:lineRule="auto"/>
        <w:rPr>
          <w:spacing w:val="2"/>
          <w:lang w:val="en-GB"/>
        </w:rPr>
      </w:pPr>
      <w:r w:rsidRPr="00142591">
        <w:rPr>
          <w:spacing w:val="2"/>
          <w:lang w:val="en-GB"/>
        </w:rPr>
        <w:t>Wärtsilän</w:t>
      </w:r>
      <w:r w:rsidRPr="00142591">
        <w:rPr>
          <w:spacing w:val="2"/>
          <w:lang w:val="en-GB"/>
        </w:rPr>
        <w:t xml:space="preserve"> </w:t>
      </w:r>
      <w:r w:rsidRPr="00142591">
        <w:rPr>
          <w:spacing w:val="2"/>
          <w:lang w:val="en-GB"/>
        </w:rPr>
        <w:t>henkilöstöstä</w:t>
      </w:r>
      <w:r w:rsidRPr="00142591">
        <w:rPr>
          <w:spacing w:val="2"/>
          <w:lang w:val="en-GB"/>
        </w:rPr>
        <w:t xml:space="preserve"> </w:t>
      </w:r>
      <w:r w:rsidRPr="00142591">
        <w:rPr>
          <w:spacing w:val="2"/>
          <w:lang w:val="en-GB"/>
        </w:rPr>
        <w:t>21</w:t>
      </w:r>
      <w:r w:rsidRPr="00142591">
        <w:rPr>
          <w:spacing w:val="2"/>
          <w:lang w:val="en-GB"/>
        </w:rPr>
        <w:t>% (</w:t>
      </w:r>
      <w:r w:rsidRPr="00142591">
        <w:rPr>
          <w:spacing w:val="2"/>
          <w:lang w:val="en-GB"/>
        </w:rPr>
        <w:t>20</w:t>
      </w:r>
      <w:r w:rsidRPr="00142591">
        <w:rPr>
          <w:spacing w:val="2"/>
          <w:lang w:val="en-GB"/>
        </w:rPr>
        <w:t xml:space="preserve">) </w:t>
      </w:r>
      <w:r w:rsidRPr="00142591">
        <w:rPr>
          <w:spacing w:val="2"/>
          <w:lang w:val="en-GB"/>
        </w:rPr>
        <w:t>työskenteli</w:t>
      </w:r>
      <w:r w:rsidRPr="00142591">
        <w:rPr>
          <w:spacing w:val="2"/>
          <w:lang w:val="en-GB"/>
        </w:rPr>
        <w:t xml:space="preserve"> </w:t>
      </w:r>
      <w:r w:rsidRPr="00142591">
        <w:rPr>
          <w:spacing w:val="2"/>
          <w:lang w:val="en-GB"/>
        </w:rPr>
        <w:t>Suomessa</w:t>
      </w:r>
      <w:r w:rsidRPr="00142591">
        <w:rPr>
          <w:spacing w:val="2"/>
          <w:lang w:val="en-GB"/>
        </w:rPr>
        <w:t xml:space="preserve"> </w:t>
      </w:r>
      <w:r w:rsidRPr="00142591">
        <w:rPr>
          <w:spacing w:val="2"/>
          <w:lang w:val="en-GB"/>
        </w:rPr>
        <w:t>ja</w:t>
      </w:r>
      <w:r w:rsidRPr="00142591">
        <w:rPr>
          <w:spacing w:val="2"/>
          <w:lang w:val="en-GB"/>
        </w:rPr>
        <w:t xml:space="preserve"> </w:t>
      </w:r>
      <w:r w:rsidRPr="00142591">
        <w:rPr>
          <w:spacing w:val="2"/>
          <w:lang w:val="en-GB"/>
        </w:rPr>
        <w:t>41</w:t>
      </w:r>
      <w:r w:rsidRPr="00142591">
        <w:rPr>
          <w:spacing w:val="2"/>
          <w:lang w:val="en-GB"/>
        </w:rPr>
        <w:t>% (</w:t>
      </w:r>
      <w:r w:rsidRPr="00142591">
        <w:rPr>
          <w:spacing w:val="2"/>
          <w:lang w:val="en-GB"/>
        </w:rPr>
        <w:t>42</w:t>
      </w:r>
      <w:r w:rsidRPr="00142591">
        <w:rPr>
          <w:spacing w:val="2"/>
          <w:lang w:val="en-GB"/>
        </w:rPr>
        <w:t xml:space="preserve">) </w:t>
      </w:r>
      <w:r w:rsidRPr="00142591">
        <w:rPr>
          <w:spacing w:val="2"/>
          <w:lang w:val="en-GB"/>
        </w:rPr>
        <w:t>muualla</w:t>
      </w:r>
      <w:r w:rsidRPr="00142591">
        <w:rPr>
          <w:spacing w:val="2"/>
          <w:lang w:val="en-GB"/>
        </w:rPr>
        <w:t xml:space="preserve"> </w:t>
      </w:r>
      <w:r w:rsidRPr="00142591">
        <w:rPr>
          <w:spacing w:val="2"/>
          <w:lang w:val="en-GB"/>
        </w:rPr>
        <w:t>Euroopassa</w:t>
      </w:r>
      <w:r w:rsidRPr="00142591">
        <w:rPr>
          <w:spacing w:val="2"/>
          <w:lang w:val="en-GB"/>
        </w:rPr>
        <w:t xml:space="preserve">. </w:t>
      </w:r>
      <w:r w:rsidRPr="005C3410">
        <w:rPr>
          <w:spacing w:val="2"/>
          <w:lang w:val="en-GB"/>
        </w:rPr>
        <w:t>Henkilöstöstä</w:t>
      </w:r>
      <w:r w:rsidRPr="005C3410">
        <w:rPr>
          <w:spacing w:val="2"/>
          <w:lang w:val="en-GB"/>
        </w:rPr>
        <w:t xml:space="preserve"> </w:t>
      </w:r>
      <w:r w:rsidRPr="005C3410">
        <w:rPr>
          <w:spacing w:val="2"/>
          <w:lang w:val="en-GB"/>
        </w:rPr>
        <w:t>22</w:t>
      </w:r>
      <w:r w:rsidRPr="005C3410">
        <w:rPr>
          <w:spacing w:val="2"/>
          <w:lang w:val="en-GB"/>
        </w:rPr>
        <w:t>% (</w:t>
      </w:r>
      <w:r w:rsidRPr="005C3410">
        <w:rPr>
          <w:spacing w:val="2"/>
          <w:lang w:val="en-GB"/>
        </w:rPr>
        <w:t>23</w:t>
      </w:r>
      <w:r w:rsidRPr="005C3410">
        <w:rPr>
          <w:spacing w:val="2"/>
          <w:lang w:val="en-GB"/>
        </w:rPr>
        <w:t xml:space="preserve">) työskenteli Aasiassa, </w:t>
      </w:r>
      <w:r w:rsidRPr="005C3410">
        <w:rPr>
          <w:spacing w:val="2"/>
          <w:lang w:val="en-GB"/>
        </w:rPr>
        <w:t>11</w:t>
      </w:r>
      <w:r w:rsidRPr="005C3410">
        <w:rPr>
          <w:spacing w:val="2"/>
          <w:lang w:val="en-GB"/>
        </w:rPr>
        <w:t>% (</w:t>
      </w:r>
      <w:r w:rsidRPr="005C3410">
        <w:rPr>
          <w:spacing w:val="2"/>
          <w:lang w:val="en-GB"/>
        </w:rPr>
        <w:t>11</w:t>
      </w:r>
      <w:r w:rsidRPr="005C3410">
        <w:rPr>
          <w:spacing w:val="2"/>
          <w:lang w:val="en-GB"/>
        </w:rPr>
        <w:t xml:space="preserve">) Amerikassa ja </w:t>
      </w:r>
      <w:r w:rsidRPr="005C3410">
        <w:rPr>
          <w:spacing w:val="2"/>
          <w:lang w:val="en-GB"/>
        </w:rPr>
        <w:t>5</w:t>
      </w:r>
      <w:r w:rsidRPr="005C3410">
        <w:rPr>
          <w:spacing w:val="2"/>
          <w:lang w:val="en-GB"/>
        </w:rPr>
        <w:t>% (</w:t>
      </w:r>
      <w:r w:rsidRPr="005C3410">
        <w:rPr>
          <w:spacing w:val="2"/>
          <w:lang w:val="en-GB"/>
        </w:rPr>
        <w:t>4</w:t>
      </w:r>
      <w:r w:rsidRPr="005C3410">
        <w:rPr>
          <w:spacing w:val="2"/>
          <w:lang w:val="en-GB"/>
        </w:rPr>
        <w:t>) muissa maissa.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720"/>
      </w:tblGrid>
      <w:tr w14:paraId="1FAA02C7" w14:textId="77777777" w:rsidTr="00AD651A">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rPr>
          <w:trHeight w:val="3481"/>
        </w:trPr>
        <w:tc>
          <w:tcPr>
            <w:tcW w:w="4720" w:type="dxa"/>
            <w:tcMar>
              <w:top w:w="0" w:type="dxa"/>
              <w:left w:w="0" w:type="dxa"/>
              <w:bottom w:w="0" w:type="dxa"/>
              <w:right w:w="0" w:type="dxa"/>
            </w:tcMar>
          </w:tcPr>
          <w:p w:rsidR="009A73FB" w:rsidRPr="003A0370" w:rsidP="003A0370" w14:paraId="40D37D86" w14:textId="1385EF88">
            <w:pPr>
              <w:pStyle w:val="Subtitle"/>
              <w:rPr>
                <w:rStyle w:val="Strong"/>
                <w:bCs w:val="0"/>
              </w:rPr>
            </w:pPr>
            <w:r w:rsidRPr="003A0370">
              <w:rPr>
                <w:rStyle w:val="Strong"/>
                <w:b/>
                <w:bCs w:val="0"/>
                <w:spacing w:val="4"/>
                <w:sz w:val="17"/>
                <w:szCs w:val="17"/>
              </w:rPr>
              <w:t>Henkilöstö</w:t>
            </w:r>
          </w:p>
          <w:p w:rsidR="00725B55" w:rsidP="00423DED" w14:paraId="7592E6B7" w14:textId="23393D0C">
            <w:pPr>
              <w:pStyle w:val="Wnormal0"/>
              <w:rPr>
                <w:color w:val="FF7321"/>
              </w:rPr>
            </w:pPr>
            <w:r>
              <w:drawing>
                <wp:inline>
                  <wp:extent cx="3025688" cy="1970475"/>
                  <wp:docPr id="8" name="Chart_Personnel"/>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bl>
    <w:p w:rsidR="005009A2" w:rsidRPr="00942577" w:rsidP="0017602D" w14:paraId="12B796DD" w14:textId="7B07AB86">
      <w:pPr>
        <w:pStyle w:val="WHeading3"/>
      </w:pPr>
      <w:bookmarkStart w:id="17" w:name="RG_MARKER_3918"/>
      <w:r w:rsidRPr="00942577">
        <w:t>Muutokset ylimmässä johdossa</w:t>
      </w:r>
      <w:bookmarkEnd w:id="17"/>
    </w:p>
    <w:p w:rsidR="00A15C1C" w:rsidRPr="00A15C1C" w:rsidP="00A15C1C" w14:paraId="7F0509BB" w14:textId="607E94BE">
      <w:pPr>
        <w:pStyle w:val="Wnormal0"/>
        <w:spacing w:after="240" w:line="276" w:lineRule="auto"/>
        <w:rPr>
          <w:spacing w:val="2"/>
          <w:sz w:val="17"/>
          <w:szCs w:val="17"/>
        </w:rPr>
      </w:pPr>
      <w:r>
        <w:rPr>
          <w:spacing w:val="2"/>
          <w:sz w:val="17"/>
          <w:szCs w:val="17"/>
        </w:rPr>
        <w:t>Uuden k</w:t>
      </w:r>
      <w:r>
        <w:rPr>
          <w:spacing w:val="2"/>
          <w:sz w:val="17"/>
          <w:szCs w:val="17"/>
        </w:rPr>
        <w:t xml:space="preserve">onsernijohtajan nimityksen lisäksi </w:t>
      </w:r>
      <w:r w:rsidRPr="00A15C1C">
        <w:rPr>
          <w:spacing w:val="2"/>
          <w:sz w:val="17"/>
          <w:szCs w:val="17"/>
        </w:rPr>
        <w:t xml:space="preserve">Wärtsilän johtokunnassa tapahtuivat seuraavat muutokset </w:t>
      </w:r>
      <w:r>
        <w:rPr>
          <w:spacing w:val="2"/>
          <w:sz w:val="17"/>
          <w:szCs w:val="17"/>
        </w:rPr>
        <w:t xml:space="preserve">vuoden </w:t>
      </w:r>
      <w:r>
        <w:rPr>
          <w:spacing w:val="2"/>
          <w:sz w:val="17"/>
          <w:szCs w:val="17"/>
        </w:rPr>
        <w:t>2020</w:t>
      </w:r>
      <w:r>
        <w:rPr>
          <w:spacing w:val="2"/>
          <w:sz w:val="17"/>
          <w:szCs w:val="17"/>
        </w:rPr>
        <w:t xml:space="preserve"> aikana</w:t>
      </w:r>
      <w:r w:rsidRPr="00A15C1C">
        <w:rPr>
          <w:spacing w:val="2"/>
          <w:sz w:val="17"/>
          <w:szCs w:val="17"/>
        </w:rPr>
        <w:t>:</w:t>
      </w:r>
    </w:p>
    <w:p w:rsidR="00A15C1C" w:rsidRPr="00A15C1C" w:rsidP="00A15C1C" w14:paraId="7F53491C" w14:textId="77777777">
      <w:pPr>
        <w:pStyle w:val="Wnormal0"/>
        <w:spacing w:after="240" w:line="276" w:lineRule="auto"/>
        <w:rPr>
          <w:spacing w:val="2"/>
          <w:sz w:val="17"/>
          <w:szCs w:val="17"/>
        </w:rPr>
      </w:pPr>
      <w:r w:rsidRPr="00A15C1C">
        <w:rPr>
          <w:spacing w:val="2"/>
          <w:sz w:val="17"/>
          <w:szCs w:val="17"/>
        </w:rPr>
        <w:t>Wärtsilän ilmoitettua Marine</w:t>
      </w:r>
      <w:r w:rsidRPr="00A15C1C">
        <w:rPr>
          <w:spacing w:val="2"/>
          <w:sz w:val="17"/>
          <w:szCs w:val="17"/>
        </w:rPr>
        <w:t>-liiketoimintansa jakamisesta kolmeksi itsenäiseksi liiketoiminnaksi Roger Holm (s. 1972, kauppatieteiden maisteri), aiemmin Wärtsilä Marine -liiketoiminnan johtaja ja johtokunnan jäsen, nimitettiin Wärtsilä Marine Powerin johtajaksi ja johtokunnan jäsenek</w:t>
      </w:r>
      <w:r w:rsidRPr="00A15C1C">
        <w:rPr>
          <w:spacing w:val="2"/>
          <w:sz w:val="17"/>
          <w:szCs w:val="17"/>
        </w:rPr>
        <w:t>si 5.3.2020 alkaen, Tamara de Gruyter (s. 1972, laivanrakennustekniikan kandidaatti) nimitettiin Wärtsilä Marine Systemsin johtajaksi ja johtokunnan jäseneksi 5.3.2020 alkaen, ja Sean Fernback (s. 1963, elektroniikkatekniikan tutkinto) nimitettiin Wärtsilä</w:t>
      </w:r>
      <w:r w:rsidRPr="00A15C1C">
        <w:rPr>
          <w:spacing w:val="2"/>
          <w:sz w:val="17"/>
          <w:szCs w:val="17"/>
        </w:rPr>
        <w:t xml:space="preserve"> Voyagen johtajaksi ja johtokunnan jäseneksi 4.5.2020 alkaen.</w:t>
      </w:r>
    </w:p>
    <w:p w:rsidR="003379AB" w:rsidP="00A15C1C" w14:paraId="25A7B635" w14:textId="59100961">
      <w:pPr>
        <w:pStyle w:val="Wnormal0"/>
        <w:spacing w:after="240" w:line="276" w:lineRule="auto"/>
        <w:rPr>
          <w:spacing w:val="2"/>
          <w:sz w:val="17"/>
          <w:szCs w:val="17"/>
        </w:rPr>
      </w:pPr>
      <w:r w:rsidRPr="00A15C1C">
        <w:rPr>
          <w:spacing w:val="2"/>
          <w:sz w:val="17"/>
          <w:szCs w:val="17"/>
        </w:rPr>
        <w:t>Heinäkuussa Sushil Purohit (s. 1972, insinööri, MBA) nimitettiin Wärtsilä Energyn johtajaksi ja Wärtsilän johtokunnan jäseneksi 3.8.2020 alkaen. Hänen edeltäjänsä Marco Wirén jätti Wärtsilän 31.</w:t>
      </w:r>
      <w:r w:rsidRPr="00A15C1C">
        <w:rPr>
          <w:spacing w:val="2"/>
          <w:sz w:val="17"/>
          <w:szCs w:val="17"/>
        </w:rPr>
        <w:t>8.2020 siirtyäkseen toiseen tehtävään yhtiön ulkopuolella.</w:t>
      </w:r>
    </w:p>
    <w:p w:rsidR="005009A2" w:rsidRPr="00BD7136" w:rsidP="00E662B1" w14:textId="52DD4149">
      <w:pPr>
        <w:pStyle w:val="WHeading3"/>
      </w:pPr>
      <w:bookmarkStart w:id="18" w:name="RG_MARKER_3923"/>
      <w:r w:rsidRPr="00BD7136">
        <w:t>Selvitys muista kuin taloudellisista tiedoista</w:t>
      </w:r>
      <w:bookmarkEnd w:id="18"/>
    </w:p>
    <w:p w:rsidR="00CF2D76" w:rsidRPr="009A0CBA" w:rsidP="006A43C4" w14:paraId="2CD607D9" w14:textId="7AE5ED52">
      <w:pPr>
        <w:pStyle w:val="WNormal"/>
      </w:pPr>
      <w:r w:rsidRPr="009A0CBA">
        <w:t>Kasvava ympäristötietoisuus tuo perustavanlaatuisia muutoksia sekä merenkulku- että energia-alalle. Wärtsiläll</w:t>
      </w:r>
      <w:r w:rsidR="00BD7136">
        <w:t>ä</w:t>
      </w:r>
      <w:r w:rsidRPr="009A0CBA">
        <w:t xml:space="preserve"> </w:t>
      </w:r>
      <w:r w:rsidR="00BD7136">
        <w:t xml:space="preserve">on erilaisten teknologioidensa ja erikoistuneiden palveluidensa ansiosta </w:t>
      </w:r>
      <w:r w:rsidRPr="009A0CBA">
        <w:t xml:space="preserve">hyvät valmiudet vähentää päästöjä ja luonnonvarojen </w:t>
      </w:r>
      <w:r w:rsidR="00BD7136">
        <w:t>käyttöä</w:t>
      </w:r>
      <w:r w:rsidRPr="009A0CBA">
        <w:t xml:space="preserve"> sekä auttaa asiakkaita</w:t>
      </w:r>
      <w:r w:rsidR="00BD7136">
        <w:t>an</w:t>
      </w:r>
      <w:r w:rsidRPr="009A0CBA">
        <w:t xml:space="preserve"> varautumaan uusiin lainsäädännöllisiin vaatimuksiin. </w:t>
      </w:r>
      <w:r w:rsidR="00BD7136">
        <w:t xml:space="preserve">Wärtsilän tutkimus- ja tuotekehitystoiminnot keskittyvät jatkossakin edistyksellisten ympäristöteknologioiden ja -ratkaisujen kehittämiseen. Yhtiö on sitoutunut tukemaan YK:n Global </w:t>
      </w:r>
      <w:r w:rsidR="00BD7136">
        <w:t>Compact</w:t>
      </w:r>
      <w:r w:rsidR="00BD7136">
        <w:t xml:space="preserve"> -aloitteen ihmisoikeuksia, työvoimaa, ympäristöä ja korruption torjuntaa koskevia perusperiaatteita. Wärtsilä on myös sitoutunut tukemaan YK:n kestävän kehityksen tavoitteita, jotka käsittelevät asioita, joihin Wärtsilällä on positiivinen vaikutus. Tällaisia ovat esimerkiksi puhdas energia, vähähiilinen merenkulun ekosysteemi ja vastuullinen liiketoiminta.</w:t>
      </w:r>
      <w:r w:rsidRPr="009A0CBA">
        <w:t xml:space="preserve"> </w:t>
      </w:r>
    </w:p>
    <w:p w:rsidR="00CF2D76" w:rsidRPr="00A15535" w:rsidP="00E662B1" w14:paraId="2354051F" w14:textId="695530B4">
      <w:pPr>
        <w:pStyle w:val="WHeading4"/>
      </w:pPr>
      <w:r w:rsidRPr="00A15535">
        <w:t>Vastuullin</w:t>
      </w:r>
      <w:r w:rsidRPr="00A15535">
        <w:t xml:space="preserve">en liiketoiminta </w:t>
      </w:r>
    </w:p>
    <w:p w:rsidR="003379AB" w:rsidRPr="009A0CBA" w:rsidP="006A43C4" w14:textId="07CA2DF3">
      <w:pPr>
        <w:pStyle w:val="WNormal"/>
      </w:pPr>
      <w:r w:rsidRPr="009A0CBA">
        <w:t>Wärtsilän toimintaperiaatteet (</w:t>
      </w:r>
      <w:r w:rsidRPr="009A0CBA">
        <w:t>Code</w:t>
      </w:r>
      <w:r w:rsidRPr="009A0CBA">
        <w:t xml:space="preserve"> of </w:t>
      </w:r>
      <w:r w:rsidRPr="009A0CBA">
        <w:t>Conduct</w:t>
      </w:r>
      <w:r w:rsidRPr="009A0CBA">
        <w:t>) määritt</w:t>
      </w:r>
      <w:r w:rsidR="0012502F">
        <w:t>ä</w:t>
      </w:r>
      <w:r w:rsidRPr="009A0CBA">
        <w:t>vät koko henkilöstöä sitovat säännöt ja ohjaavat Wärtsilän liiketoiminnan vastuullisuutta koskevia päätöksiä. Toimintaperiaatteita täydentävät koko konsernin kattavat politiikat, muk</w:t>
      </w:r>
      <w:r w:rsidRPr="009A0CBA">
        <w:t xml:space="preserve">aan lukien laatu-, </w:t>
      </w:r>
      <w:r w:rsidRPr="006A43C4">
        <w:t>ympäristö</w:t>
      </w:r>
      <w:r w:rsidRPr="009A0CBA">
        <w:t>-, työterveys- ja työturvallisuuspolitiikka, yhtäläisiä mahdollisuuksia ja oikeudenmukaisia työsuhdekäytäntöjä koskeva politiikka sekä lahjonnan ja lahjusten torjuntaa, säännöstenmukaisuuden raportointia sekä hankintoja ja ostoj</w:t>
      </w:r>
      <w:r w:rsidRPr="009A0CBA">
        <w:t>a koskevat politiikat.</w:t>
      </w:r>
    </w:p>
    <w:p w:rsidR="003D5010" w:rsidRPr="009A0CBA" w:rsidP="006A43C4" w14:paraId="1EAE0A79" w14:textId="4B411DA0">
      <w:pPr>
        <w:pStyle w:val="WNormal"/>
      </w:pPr>
      <w:r w:rsidRPr="009A0CBA">
        <w:t>Wärtsilä soveltaa toimintaperiaatteitaan aktiivisesti, edistää niiden täytäntöönpanoa tehokkaalla henkilöstölle suunnatulla viestinnällä ja valvoo sisäisesti periaatteiden noudattamista varmistaakseen, että ne ymmärretään ja niihin s</w:t>
      </w:r>
      <w:r w:rsidRPr="009A0CBA">
        <w:t xml:space="preserve">itoudutaan kaikkialla organisaatiossa. </w:t>
      </w:r>
      <w:r w:rsidRPr="009A0CBA">
        <w:t>Code</w:t>
      </w:r>
      <w:r w:rsidRPr="009A0CBA">
        <w:t xml:space="preserve"> of </w:t>
      </w:r>
      <w:r w:rsidRPr="009A0CBA">
        <w:t>Conduct</w:t>
      </w:r>
      <w:r w:rsidRPr="009A0CBA">
        <w:t xml:space="preserve"> </w:t>
      </w:r>
      <w:r w:rsidRPr="009A0CBA">
        <w:noBreakHyphen/>
        <w:t>koulutuksen oli suorittanut vuoden 20</w:t>
      </w:r>
      <w:r w:rsidR="0012502F">
        <w:t>20</w:t>
      </w:r>
      <w:r w:rsidRPr="009A0CBA">
        <w:t xml:space="preserve"> lopussa 17</w:t>
      </w:r>
      <w:r w:rsidR="0012502F">
        <w:t xml:space="preserve"> 039</w:t>
      </w:r>
      <w:r w:rsidRPr="009A0CBA">
        <w:t xml:space="preserve"> työntekijää eli 9</w:t>
      </w:r>
      <w:r w:rsidR="0012502F">
        <w:t>8</w:t>
      </w:r>
      <w:r w:rsidRPr="009A0CBA">
        <w:t xml:space="preserve">% koko henkilöstöstä. </w:t>
      </w:r>
    </w:p>
    <w:p w:rsidR="00D607C5" w:rsidRPr="009A0CBA" w:rsidP="006A43C4" w14:paraId="5EE56CED" w14:textId="4D2DF11B">
      <w:pPr>
        <w:pStyle w:val="WNormal"/>
      </w:pPr>
      <w:r w:rsidRPr="009A0CBA">
        <w:t xml:space="preserve">Toimittajat ja liikekumppanit ovat </w:t>
      </w:r>
      <w:r w:rsidR="0012502F">
        <w:t>olennainen</w:t>
      </w:r>
      <w:r w:rsidRPr="009A0CBA">
        <w:t xml:space="preserve"> osa Wärtsilän tuotteiden ja palveluiden kokonaisarvoketjua</w:t>
      </w:r>
      <w:r w:rsidRPr="009A0CBA">
        <w:t xml:space="preserve">. Heidän </w:t>
      </w:r>
      <w:r w:rsidRPr="009A0CBA">
        <w:t>edellytetään noudattavan samoja korkeita juridisia ja eettisiä normeja sekä liike</w:t>
      </w:r>
      <w:r w:rsidR="0012502F">
        <w:t>toiminta</w:t>
      </w:r>
      <w:r w:rsidRPr="009A0CBA">
        <w:t xml:space="preserve">tapoja kuin Wärtsilä itsekin noudattaa. Tiedot Wärtsilän vaatimuksista sisällytetään toimittajille suunnattuihin sopimusmalleihin. </w:t>
      </w:r>
    </w:p>
    <w:p w:rsidR="00D607C5" w:rsidRPr="009A0CBA" w:rsidP="00E662B1" w14:paraId="0BF349CC" w14:textId="0F62DDD8">
      <w:pPr>
        <w:pStyle w:val="WHeading4"/>
      </w:pPr>
      <w:r w:rsidRPr="009A0CBA">
        <w:t xml:space="preserve">Ympäristövastuu </w:t>
      </w:r>
    </w:p>
    <w:p w:rsidR="00D607C5" w:rsidRPr="009A0CBA" w:rsidP="006A43C4" w14:paraId="48D59897" w14:textId="550CE45A">
      <w:pPr>
        <w:pStyle w:val="WNormal"/>
      </w:pPr>
      <w:r w:rsidRPr="009A0CBA">
        <w:t>Wärtsilän</w:t>
      </w:r>
      <w:r w:rsidRPr="009A0CBA">
        <w:t xml:space="preserve"> pääasiallinen panos yritysten ympäristösuorituskyvyn parantamiseen on tarjota asiakkaille luotettavia ja turvallisia teknologioita ja palveluja, jotka tukevat merenkulku- ja energia-al</w:t>
      </w:r>
      <w:r w:rsidR="0012502F">
        <w:t>oje</w:t>
      </w:r>
      <w:r w:rsidRPr="009A0CBA">
        <w:t>n kestävää kehitystä ja auttavat täyttämään ympäristömääräykset. Wär</w:t>
      </w:r>
      <w:r w:rsidRPr="009A0CBA">
        <w:t xml:space="preserve">tsilän tuotteiden ja ratkaisujen suunniteltu käyttöikä on jopa 30 vuotta. Siksi keskittyminen tuotteen tai järjestelmän suorituskyvyn parantamiseen on ratkaisevan tärkeä osa tutkimus- ja kehitystyötä, samoin kuin </w:t>
      </w:r>
      <w:r w:rsidR="0012502F">
        <w:t xml:space="preserve">koko elinkaaren aikainen </w:t>
      </w:r>
      <w:r w:rsidRPr="009A0CBA">
        <w:t>suorituskyvyn opti</w:t>
      </w:r>
      <w:r w:rsidRPr="009A0CBA">
        <w:t>mointi. Tuotteiden</w:t>
      </w:r>
      <w:r w:rsidR="0012502F">
        <w:t>sa</w:t>
      </w:r>
      <w:r w:rsidRPr="009A0CBA">
        <w:t xml:space="preserve"> </w:t>
      </w:r>
      <w:r w:rsidR="0012502F">
        <w:t xml:space="preserve">ja ratkaisujensa </w:t>
      </w:r>
      <w:r w:rsidRPr="009A0CBA">
        <w:t xml:space="preserve">ympäristösuorituskyvyn parantamisen lisäksi Wärtsilä valvoo jatkuvasti oman toimintansa vaikutuksia ja pyrkii vähentämään energiankulutusta tuotantolaitoksissaan. </w:t>
      </w:r>
    </w:p>
    <w:p w:rsidR="0076044C" w:rsidRPr="009A0CBA" w:rsidP="006A43C4" w14:paraId="6FA58846" w14:textId="4D4F03AC">
      <w:pPr>
        <w:pStyle w:val="WNormal"/>
      </w:pPr>
      <w:r w:rsidRPr="009A0CBA">
        <w:t>Wärtsilän laatu-, ympäristö-, työterveys- ja työturval</w:t>
      </w:r>
      <w:r w:rsidRPr="009A0CBA">
        <w:t>lisuuspolitiikka määr</w:t>
      </w:r>
      <w:r w:rsidR="00A36B1B">
        <w:t>ittää</w:t>
      </w:r>
      <w:r w:rsidRPr="009A0CBA">
        <w:t xml:space="preserve"> yhtiön tuotteiden ja palvelujen ympäristövaikutusten hallinnan periaatteet. Ympäristöasioihin ja ilmastonmuutokseen liittyvät mahdolliset riskit liittyvät pääasiassa päästörajoituksiin ja asiakkaiden asennemuutoksiin polttomootto</w:t>
      </w:r>
      <w:r w:rsidRPr="009A0CBA">
        <w:t xml:space="preserve">reiden ja fossiilisten polttoaineiden käytön osalta. Riskejä hallitaan keskittymällä </w:t>
      </w:r>
      <w:r w:rsidR="00940B34">
        <w:t>tutkimus- ja kehitys</w:t>
      </w:r>
      <w:r w:rsidRPr="009A0CBA">
        <w:t xml:space="preserve">toiminnassa tuotteiden hyötysuhteen parantamiseen ja päästöjen vähentämiseen sekä kehittämällä laaja tuotevalikoima, </w:t>
      </w:r>
      <w:r w:rsidR="00940B34">
        <w:t>johon sisältyy</w:t>
      </w:r>
      <w:r w:rsidRPr="009A0CBA">
        <w:t xml:space="preserve"> jätteiden </w:t>
      </w:r>
      <w:r w:rsidR="00940B34">
        <w:t>ja</w:t>
      </w:r>
      <w:r w:rsidRPr="009A0CBA">
        <w:t xml:space="preserve"> melun </w:t>
      </w:r>
      <w:r w:rsidRPr="009A0CBA">
        <w:t>vähentämiseen sekä jätevesien ja painolastivesien käsittelyyn liittyv</w:t>
      </w:r>
      <w:r w:rsidR="00940B34">
        <w:t>iä</w:t>
      </w:r>
      <w:r w:rsidRPr="009A0CBA">
        <w:t xml:space="preserve"> teknolog</w:t>
      </w:r>
      <w:r w:rsidR="00940B34">
        <w:t>ioita</w:t>
      </w:r>
      <w:r w:rsidRPr="009A0CBA">
        <w:t xml:space="preserve">. Vuonna </w:t>
      </w:r>
      <w:r w:rsidR="00940B34">
        <w:t>2020</w:t>
      </w:r>
      <w:r w:rsidRPr="009A0CBA">
        <w:t xml:space="preserve"> </w:t>
      </w:r>
      <w:r w:rsidR="00940B34">
        <w:t>tutkimus- ja kehitys</w:t>
      </w:r>
      <w:r w:rsidRPr="009A0CBA">
        <w:t xml:space="preserve">investoinnit olivat yhteensä </w:t>
      </w:r>
      <w:r w:rsidR="00940B34">
        <w:t>153</w:t>
      </w:r>
      <w:r w:rsidRPr="009A0CBA">
        <w:t xml:space="preserve"> miljoonaa euroa eli </w:t>
      </w:r>
      <w:r w:rsidR="00940B34">
        <w:t>3,3</w:t>
      </w:r>
      <w:r w:rsidRPr="009A0CBA">
        <w:t>% liikevaih</w:t>
      </w:r>
      <w:r w:rsidRPr="009A0CBA">
        <w:t>dosta. Näistä investoinneista valtaosa tähtä</w:t>
      </w:r>
      <w:r w:rsidR="00940B34">
        <w:t>si</w:t>
      </w:r>
      <w:r w:rsidRPr="009A0CBA">
        <w:t xml:space="preserve"> ympäristösuorituskyvyn parantamiseen. </w:t>
      </w:r>
      <w:r>
        <w:t>M</w:t>
      </w:r>
      <w:r w:rsidRPr="009A0CBA">
        <w:t>erkittävi</w:t>
      </w:r>
      <w:r>
        <w:t>in</w:t>
      </w:r>
      <w:r w:rsidRPr="009A0CBA">
        <w:t xml:space="preserve"> kestävän kehityksen innovaatioihin liittyvi</w:t>
      </w:r>
      <w:r>
        <w:t>in</w:t>
      </w:r>
      <w:r w:rsidRPr="009A0CBA">
        <w:t xml:space="preserve"> saavutuksi</w:t>
      </w:r>
      <w:r>
        <w:t>in</w:t>
      </w:r>
      <w:r w:rsidRPr="009A0CBA">
        <w:t xml:space="preserve"> </w:t>
      </w:r>
      <w:r>
        <w:t>kuuluivat</w:t>
      </w:r>
      <w:r w:rsidRPr="009A0CBA">
        <w:t xml:space="preserve"> </w:t>
      </w:r>
      <w:r w:rsidRPr="00180DBB" w:rsidR="00180DBB">
        <w:t>edisty</w:t>
      </w:r>
      <w:r>
        <w:t>saskeleet</w:t>
      </w:r>
      <w:r w:rsidRPr="00180DBB" w:rsidR="00180DBB">
        <w:t xml:space="preserve"> moottoriteknologian kehittämisessä hiilettömien polttoaineiden </w:t>
      </w:r>
      <w:r w:rsidR="00180DBB">
        <w:t>käyttöä varten</w:t>
      </w:r>
      <w:r w:rsidRPr="00180DBB" w:rsidR="00180DBB">
        <w:t>.</w:t>
      </w:r>
      <w:r w:rsidR="00180DBB">
        <w:t xml:space="preserve"> </w:t>
      </w:r>
      <w:r w:rsidR="00D077BC">
        <w:t xml:space="preserve">Merenkulkumarkkinoille </w:t>
      </w:r>
      <w:r w:rsidR="00180DBB">
        <w:t>Wärtsilä lanseerasi useita ratkaisuja, jotka tukevat sen visiota älykkäästä merenkulun ekosysteemistä. Nämä sisälsivät älykkään navigoinnin ratkaisuja, useita etätukipalveluita sekä etäkoulutusta tukevan pilvipohjaisen simulaatioalustan. Energiasektorill</w:t>
      </w:r>
      <w:r w:rsidR="00D077BC">
        <w:t>e</w:t>
      </w:r>
      <w:r w:rsidR="00180DBB">
        <w:t xml:space="preserve"> Wärtsilä esitteli </w:t>
      </w:r>
      <w:r w:rsidR="00180DBB">
        <w:t>GridSolv</w:t>
      </w:r>
      <w:r w:rsidR="00180DBB">
        <w:t xml:space="preserve"> </w:t>
      </w:r>
      <w:r w:rsidR="00180DBB">
        <w:t>Quantum</w:t>
      </w:r>
      <w:r w:rsidR="00180DBB">
        <w:t xml:space="preserve"> -energianvarastointijärjestelmän eli täysin integroidun, modulaarisen ja kompaktin ratkaisun, joka mahdollistaa kustannustehokkaan energian varastoinnin nopean käyttöönoton, sekä datapohjaisia ratkaisuja, jotka auttavat ymmärtämään energiamurroksen vaikutuksia.</w:t>
      </w:r>
    </w:p>
    <w:p w:rsidR="0076044C" w:rsidRPr="009A0CBA" w:rsidP="00E662B1" w14:paraId="3FA9E05C" w14:textId="7311097A">
      <w:pPr>
        <w:pStyle w:val="WHeading4"/>
      </w:pPr>
      <w:r w:rsidRPr="009A0CBA">
        <w:t xml:space="preserve">Sosiaalinen vastuu ja työsuhdeasiat </w:t>
      </w:r>
    </w:p>
    <w:p w:rsidR="0076044C" w:rsidRPr="006A43C4" w:rsidP="006A43C4" w14:paraId="39F04988" w14:textId="7A7B962D">
      <w:pPr>
        <w:pStyle w:val="WNormal"/>
      </w:pPr>
      <w:r w:rsidRPr="006A43C4">
        <w:t>Wärtsilä on vastuullinen työnantaja ja tarjoaa henkilöstölle työpaikan, jossa vallitsevat avoimuu</w:t>
      </w:r>
      <w:r w:rsidRPr="006A43C4">
        <w:t xml:space="preserve">s, toisten kunnioitus, luottamus, tasa-arvo sekä mahdollisuudet henkilökohtaiseen kehittymiseen. Wärtsilä on allekirjoittanut YK:n Global </w:t>
      </w:r>
      <w:r w:rsidRPr="006A43C4">
        <w:t>Compact</w:t>
      </w:r>
      <w:r w:rsidRPr="006A43C4">
        <w:t xml:space="preserve"> </w:t>
      </w:r>
      <w:r w:rsidRPr="006A43C4">
        <w:noBreakHyphen/>
        <w:t xml:space="preserve">aloitteen ja tukee kansainvälisen työjärjestön </w:t>
      </w:r>
      <w:r w:rsidRPr="006A43C4">
        <w:t>ILO:n</w:t>
      </w:r>
      <w:r w:rsidRPr="006A43C4">
        <w:t xml:space="preserve"> määrittelemiä työhön liittyviä oikeuksia. Työntekijöiden</w:t>
      </w:r>
      <w:r w:rsidRPr="006A43C4">
        <w:t xml:space="preserve"> tasavertaisia mahdollisuuksia ja oikeudenmukaisia työsuhdekäytäntöjä koskeva konsernipolitiikka ohjaa yhtenäisesti kaikkien Wärtsilä-yhtiöiden käytäntöjä. Henkilöstöjohtamisen prosesseja</w:t>
      </w:r>
      <w:r w:rsidR="00DC7940">
        <w:t>,</w:t>
      </w:r>
      <w:r w:rsidRPr="006A43C4">
        <w:t xml:space="preserve"> </w:t>
      </w:r>
      <w:r w:rsidRPr="006A43C4">
        <w:t xml:space="preserve">työkaluja </w:t>
      </w:r>
      <w:r w:rsidR="00DC7940">
        <w:t>ja</w:t>
      </w:r>
      <w:r w:rsidRPr="006A43C4">
        <w:t xml:space="preserve"> </w:t>
      </w:r>
      <w:r w:rsidRPr="006A43C4">
        <w:t xml:space="preserve">toimintatapoja kehitetään </w:t>
      </w:r>
      <w:r w:rsidRPr="006A43C4">
        <w:t>johdonmukaisuuden varmistamiseksi</w:t>
      </w:r>
      <w:r w:rsidRPr="00DC7940" w:rsidR="00DC7940">
        <w:t xml:space="preserve"> </w:t>
      </w:r>
      <w:r w:rsidRPr="006A43C4" w:rsidR="00DC7940">
        <w:t>maa- ja organisaatiorajo</w:t>
      </w:r>
      <w:r w:rsidR="00DC7940">
        <w:t>ista riippumatta</w:t>
      </w:r>
      <w:r w:rsidRPr="006A43C4">
        <w:t>. Wärtsilän kaikki yksiköt noudattavat globaalia tehtävien vaativuusluokittelua ja yhtenäisiä palkitsemisperiaatteita, joilla varmistetaan läpinäkyvyys ja kaikkien työntekijöiden oikeudenmukainen</w:t>
      </w:r>
      <w:r w:rsidRPr="006A43C4">
        <w:t xml:space="preserve"> kohtelu. </w:t>
      </w:r>
    </w:p>
    <w:p w:rsidR="0076044C" w:rsidRPr="006A43C4" w:rsidP="006A43C4" w14:paraId="241DB6CE" w14:textId="0643D62A">
      <w:pPr>
        <w:pStyle w:val="WNormal"/>
      </w:pPr>
      <w:r w:rsidRPr="006A43C4">
        <w:t>Wärtsilän henkilöstö</w:t>
      </w:r>
      <w:r w:rsidR="00DC7940">
        <w:t>johtamis</w:t>
      </w:r>
      <w:r w:rsidRPr="006A43C4">
        <w:t xml:space="preserve">strategian tavoitteena on varmistaa, että liiketoiminnoilla on käytettävissään tarvitsemansa resurssit sekä osaavat ja motivoituneet työntekijät. </w:t>
      </w:r>
      <w:r w:rsidR="00DC7940">
        <w:t>O</w:t>
      </w:r>
      <w:r w:rsidRPr="006A43C4">
        <w:t>saamisen kehittämiseksi henkilöstölle tarjotaan laajasti erilaisia</w:t>
      </w:r>
      <w:r w:rsidRPr="006A43C4">
        <w:t xml:space="preserve"> sisäisiä koulutuksia, joiden aiheita ovat mm. </w:t>
      </w:r>
      <w:r w:rsidR="00DC7940">
        <w:t>teknologia</w:t>
      </w:r>
      <w:r w:rsidRPr="006A43C4">
        <w:t>, työterveys ja -turvallisuus, kielet ja kulttuuri, projektinhallinta, ympäristö ja johta</w:t>
      </w:r>
      <w:r w:rsidRPr="006A43C4">
        <w:t>minen</w:t>
      </w:r>
      <w:r w:rsidRPr="006A43C4">
        <w:t xml:space="preserve">. Wärtsilän henkilöstölle kertyi keskimäärin </w:t>
      </w:r>
      <w:r w:rsidR="00DC7940">
        <w:t>1,1</w:t>
      </w:r>
      <w:r w:rsidRPr="006A43C4">
        <w:t xml:space="preserve"> koulutuspäivää vuonna 20</w:t>
      </w:r>
      <w:r w:rsidR="00DC7940">
        <w:t>20</w:t>
      </w:r>
      <w:r w:rsidRPr="006A43C4">
        <w:t xml:space="preserve">. </w:t>
      </w:r>
    </w:p>
    <w:p w:rsidR="00B81D1D" w:rsidRPr="009A0CBA" w:rsidP="006A43C4" w14:paraId="3C7B88E0" w14:textId="368D9BC2">
      <w:pPr>
        <w:pStyle w:val="WNormal"/>
      </w:pPr>
      <w:r w:rsidRPr="009A0CBA">
        <w:t>Wärtsilä pyrkii tarjoam</w:t>
      </w:r>
      <w:r w:rsidRPr="009A0CBA">
        <w:t xml:space="preserve">aan työntekijöilleen ja sopimuskumppaneilleen </w:t>
      </w:r>
      <w:r w:rsidRPr="009A0CBA">
        <w:t xml:space="preserve">turvallisen </w:t>
      </w:r>
      <w:r w:rsidR="00AE3E0C">
        <w:t>työskentely-ympäristön</w:t>
      </w:r>
      <w:r w:rsidRPr="009A0CBA">
        <w:t xml:space="preserve"> sekä minimoimaan tuotteiden</w:t>
      </w:r>
      <w:r w:rsidR="00AE3E0C">
        <w:t>sa</w:t>
      </w:r>
      <w:r w:rsidRPr="009A0CBA">
        <w:t xml:space="preserve"> ja palvelujen</w:t>
      </w:r>
      <w:r w:rsidR="00AE3E0C">
        <w:t>sa</w:t>
      </w:r>
      <w:r w:rsidRPr="009A0CBA">
        <w:t xml:space="preserve"> käyttöön liittyvät terveys- ja turvallisuusriskit. Yhtiön työterveys- ja työturvallisuusperiaatteet määritellään yhtiön toiminta</w:t>
      </w:r>
      <w:r w:rsidRPr="009A0CBA">
        <w:t>periaatteissa, laatu-, ympäristö-, työterveys- ja työturvallisuuspolitiikassa (QEHS) sekä ympäristö-, työterveys- ja työturvallisuusdirektiivissä (EHS). Kaikilta Wärtsilän yksiköiltä vaaditaan QEHS-politiikan sekä EHS-direktiivin mukainen johtamisjärjestel</w:t>
      </w:r>
      <w:r w:rsidRPr="009A0CBA">
        <w:t>mä. Johtamisjärjestelmän lisäksi Wärtsilä-yhtiöissä on käytössä paikallisen lainsäädännön edellyttämiä työsuojeluohjelmia. Wärtsilän pitkän aikavälin tavoitteena on nolla tapaturmaa. Vuonna 20</w:t>
      </w:r>
      <w:r w:rsidR="00AE3E0C">
        <w:t>20</w:t>
      </w:r>
      <w:r w:rsidRPr="009A0CBA">
        <w:t xml:space="preserve"> konsernin poissaoloon johta</w:t>
      </w:r>
      <w:r w:rsidR="00AE3E0C">
        <w:t>neiden</w:t>
      </w:r>
      <w:r w:rsidRPr="009A0CBA">
        <w:t xml:space="preserve"> tapaturmien taajuusindeksi ol</w:t>
      </w:r>
      <w:r w:rsidRPr="009A0CBA">
        <w:t>i 2,</w:t>
      </w:r>
      <w:r w:rsidR="00AE3E0C">
        <w:t>03</w:t>
      </w:r>
      <w:r w:rsidRPr="009A0CBA">
        <w:t xml:space="preserve"> (2,</w:t>
      </w:r>
      <w:r w:rsidR="00AE3E0C">
        <w:t>25</w:t>
      </w:r>
      <w:r w:rsidRPr="009A0CBA">
        <w:t>).</w:t>
      </w:r>
    </w:p>
    <w:p w:rsidR="00B81D1D" w:rsidRPr="00657C05" w:rsidP="00E662B1" w14:paraId="40ADE21C" w14:textId="69C81932">
      <w:pPr>
        <w:pStyle w:val="WHeading4"/>
      </w:pPr>
      <w:r w:rsidRPr="00657C05">
        <w:t xml:space="preserve">Ihmisoikeuksien kunnioittaminen </w:t>
      </w:r>
    </w:p>
    <w:p w:rsidR="00A24353" w:rsidRPr="009A0CBA" w:rsidP="006A43C4" w14:paraId="159048CD" w14:textId="01005BAF">
      <w:pPr>
        <w:pStyle w:val="WNormal"/>
      </w:pPr>
      <w:r w:rsidRPr="009A0CBA">
        <w:t xml:space="preserve">Wärtsilä tukee ja kunnioittaa YK:n yleismaailmalliseen ihmisoikeuksien julistukseen kirjattuja ihmisoikeuksia. Wärtsilä on myös allekirjoittanut YK:n Global </w:t>
      </w:r>
      <w:r w:rsidRPr="009A0CBA">
        <w:t>Compact</w:t>
      </w:r>
      <w:r w:rsidRPr="009A0CBA">
        <w:t xml:space="preserve"> -aloitteen ja </w:t>
      </w:r>
      <w:r w:rsidR="00862E55">
        <w:t>on</w:t>
      </w:r>
      <w:r w:rsidRPr="009A0CBA">
        <w:t xml:space="preserve"> siten</w:t>
      </w:r>
      <w:r w:rsidR="00862E55">
        <w:t xml:space="preserve"> sitoutunut</w:t>
      </w:r>
      <w:r w:rsidRPr="009A0CBA">
        <w:t xml:space="preserve"> sen </w:t>
      </w:r>
      <w:r w:rsidR="00862E55">
        <w:t>ihmisoikeuksia, työvoimaa, ympäristöä ja korruption torjuntaa koskevi</w:t>
      </w:r>
      <w:r w:rsidR="00862E55">
        <w:t>in</w:t>
      </w:r>
      <w:r w:rsidR="00862E55">
        <w:t xml:space="preserve"> periaattei</w:t>
      </w:r>
      <w:r w:rsidR="00862E55">
        <w:t>siin</w:t>
      </w:r>
      <w:r w:rsidRPr="009A0CBA">
        <w:t xml:space="preserve">. Työntekijät eivät saa rikkoa näitä oikeuksia millään tavoin, eivät suoraan eivätkä välillisesti. Wärtsilä ei hyväksy minkäänlaista pakkotyötä tai lapsityövoiman käyttöä. </w:t>
      </w:r>
      <w:r w:rsidRPr="009A0CBA">
        <w:t>Ihmis</w:t>
      </w:r>
      <w:r w:rsidRPr="009A0CBA">
        <w:t>- ja työelämän oikeudet ov</w:t>
      </w:r>
      <w:r w:rsidRPr="009A0CBA">
        <w:t xml:space="preserve">at osa toimintaperiaatekoulutusta, ja ne on sisällytetty Wärtsilän tasavertaisia mahdollisuuksia ja oikeudenmukaisia työsuhdekäytäntöjä koskevaan politiikkaan sekä yhtiön toimittajakäsikirjaan. </w:t>
      </w:r>
    </w:p>
    <w:p w:rsidR="00A24353" w:rsidRPr="00657C05" w:rsidP="00E662B1" w14:paraId="18CAD19F" w14:textId="77777777">
      <w:pPr>
        <w:pStyle w:val="WHeading4"/>
      </w:pPr>
      <w:r w:rsidRPr="00657C05">
        <w:t xml:space="preserve">Korruption ja lahjonnan vastaiset menettelyt </w:t>
      </w:r>
    </w:p>
    <w:p w:rsidR="00B81D1D" w:rsidRPr="009A0CBA" w:rsidP="006A43C4" w14:paraId="7E01D108" w14:textId="7D40DFBD">
      <w:pPr>
        <w:pStyle w:val="WNormal"/>
      </w:pPr>
      <w:r w:rsidRPr="009A0CBA">
        <w:t>Wärtsilän toimi</w:t>
      </w:r>
      <w:r w:rsidRPr="009A0CBA">
        <w:t>ntaperiaatteet, korruption vastainen politiikka ja itsenäisiä välittäjiä koskeva ohjeistus (</w:t>
      </w:r>
      <w:r w:rsidRPr="009A0CBA">
        <w:t>broker</w:t>
      </w:r>
      <w:r w:rsidRPr="009A0CBA">
        <w:t xml:space="preserve"> </w:t>
      </w:r>
      <w:r w:rsidRPr="009A0CBA">
        <w:t>directive</w:t>
      </w:r>
      <w:r w:rsidRPr="009A0CBA">
        <w:t xml:space="preserve">) nimenomaisesti kieltävät yhtiötä ja sen työntekijöitä ottamasta </w:t>
      </w:r>
      <w:r w:rsidR="00862E55">
        <w:t>tai</w:t>
      </w:r>
      <w:r w:rsidRPr="009A0CBA">
        <w:t xml:space="preserve"> tarjoamasta minkäänlaista lahjuksena pidettävää etua </w:t>
      </w:r>
      <w:r w:rsidRPr="009A0CBA">
        <w:t>sekä</w:t>
      </w:r>
      <w:r w:rsidRPr="009A0CBA">
        <w:t xml:space="preserve"> ryhtymästä minkäänlai</w:t>
      </w:r>
      <w:r w:rsidRPr="009A0CBA">
        <w:t xml:space="preserve">siin toimiin, jotka voisivat johtaa eturistiriitaan tai lojaaliusrikkomukseen. Näissä ohjeissa velvoitetaan noudattamaan paikallisia korruption vastaisia </w:t>
      </w:r>
      <w:r w:rsidRPr="009A0CBA">
        <w:t xml:space="preserve">lakeja kaikissa maissa, joissa Wärtsilä </w:t>
      </w:r>
      <w:r w:rsidRPr="009A0CBA" w:rsidR="00862E55">
        <w:t>toimii</w:t>
      </w:r>
      <w:r w:rsidRPr="009A0CBA" w:rsidR="00862E55">
        <w:t xml:space="preserve"> </w:t>
      </w:r>
      <w:r w:rsidRPr="009A0CBA">
        <w:t>tai</w:t>
      </w:r>
      <w:r w:rsidR="00862E55">
        <w:t xml:space="preserve"> aikoo toimia</w:t>
      </w:r>
      <w:r w:rsidRPr="009A0CBA">
        <w:t>, ja kehotetaan raportoimaan mah</w:t>
      </w:r>
      <w:r w:rsidRPr="009A0CBA">
        <w:t xml:space="preserve">dollisista rikkomuksista. </w:t>
      </w:r>
    </w:p>
    <w:p w:rsidR="00F21934" w:rsidRPr="009A0CBA" w:rsidP="006A43C4" w14:paraId="28C87A12" w14:textId="6B1B6C25">
      <w:pPr>
        <w:pStyle w:val="WNormal"/>
      </w:pPr>
      <w:r w:rsidRPr="009A0CBA">
        <w:t>Wärtsilä tiedostaa riskin joutua ulkopuolisten toimijoiden vilpin kohteeksi</w:t>
      </w:r>
      <w:r w:rsidR="00862E55">
        <w:t>,</w:t>
      </w:r>
      <w:r w:rsidRPr="009A0CBA">
        <w:t xml:space="preserve"> ja että korruption ja vilpin riski on korostunut monilla yhtiön toiminta-alueilla. Siksi kaikilta työntekijöiltä edellytetään tiukkojen korruption vastai</w:t>
      </w:r>
      <w:r w:rsidRPr="009A0CBA">
        <w:t>sten menettelytapojen ehdotonta noudattamista. Henkilöstölle järjestetään laajalti koulutusta lahjonnan vastaisista periaatteista ja lainsäädännöstä sekä yhtiön niitä koskevista politiikoista ja toimintatavoista. Vuoden 20</w:t>
      </w:r>
      <w:r w:rsidR="00862E55">
        <w:t>20</w:t>
      </w:r>
      <w:r w:rsidRPr="009A0CBA">
        <w:t xml:space="preserve"> loppuun mennessä </w:t>
      </w:r>
      <w:r w:rsidR="00862E55">
        <w:t>93</w:t>
      </w:r>
      <w:r w:rsidRPr="009A0CBA">
        <w:t xml:space="preserve">% Wärtsilän </w:t>
      </w:r>
      <w:r w:rsidRPr="009A0CBA">
        <w:t xml:space="preserve">työntekijöistä oli osallistunut lahjonnan torjuntaa koskevaan koulutukseen. Henkilöstöä kannustetaan antamaan palautetta ja kertomaan havaitsemastaan kyseenalaisesta toiminnasta linjajohdolle tai suoraan </w:t>
      </w:r>
      <w:r w:rsidRPr="009A0CBA">
        <w:t>compliance</w:t>
      </w:r>
      <w:r w:rsidRPr="009A0CBA">
        <w:t>-toiminnolle, lakiasiainosastolle tai sisä</w:t>
      </w:r>
      <w:r w:rsidRPr="009A0CBA">
        <w:t>iselle tarkastukselle. Wärtsilällä on myös työkalu, jonka kautta työntekijät voivat ilmoittaa rikkomuksista.</w:t>
      </w:r>
    </w:p>
    <w:p w:rsidR="00F66F00" w:rsidRPr="008D7086" w:rsidP="00D97042" w14:paraId="6A6B2C8D" w14:textId="12E9278F">
      <w:pPr>
        <w:pStyle w:val="WHeading3"/>
      </w:pPr>
      <w:bookmarkStart w:id="19" w:name="RG_MARKER_3921"/>
      <w:r w:rsidRPr="008D7086">
        <w:t>Raportointisegmentit</w:t>
      </w:r>
      <w:bookmarkEnd w:id="19"/>
    </w:p>
    <w:p w:rsidR="00F66F00" w:rsidRPr="008D7086" w:rsidP="00D97042" w14:paraId="5F661E9B" w14:textId="40CC30CD">
      <w:pPr>
        <w:pStyle w:val="WHeading4"/>
      </w:pPr>
      <w:r w:rsidRPr="008D7086">
        <w:t xml:space="preserve">Wärtsilä Marine </w:t>
      </w:r>
      <w:r w:rsidR="002F024D">
        <w:t>Power</w:t>
      </w:r>
    </w:p>
    <w:p w:rsidR="002F024D" w:rsidRPr="002F024D" w:rsidP="002F024D" w14:paraId="11781F35" w14:textId="3C5EF295">
      <w:pPr>
        <w:pStyle w:val="WNormal"/>
      </w:pPr>
      <w:r>
        <w:t>Marine Powerin t</w:t>
      </w:r>
      <w:r w:rsidRPr="002F024D">
        <w:t>ilauskertymä</w:t>
      </w:r>
      <w:r>
        <w:t xml:space="preserve"> vuonna</w:t>
      </w:r>
      <w:r w:rsidRPr="002F024D">
        <w:t> </w:t>
      </w:r>
      <w:r>
        <w:t>2020</w:t>
      </w:r>
      <w:r w:rsidRPr="002F024D">
        <w:t> </w:t>
      </w:r>
      <w:r w:rsidRPr="002F024D">
        <w:t>laski 23% 1 737 miljoonaan euroon</w:t>
      </w:r>
      <w:r w:rsidRPr="002F024D">
        <w:t xml:space="preserve"> (</w:t>
      </w:r>
      <w:r w:rsidRPr="002F024D">
        <w:t>2 247</w:t>
      </w:r>
      <w:r w:rsidRPr="002F024D">
        <w:t xml:space="preserve">) edellisvuoteen nähden. Tilaus-laskutussuhde oli </w:t>
      </w:r>
      <w:r w:rsidRPr="002F024D">
        <w:t>0,99</w:t>
      </w:r>
      <w:r w:rsidRPr="002F024D">
        <w:t xml:space="preserve"> (</w:t>
      </w:r>
      <w:r w:rsidRPr="002F024D">
        <w:t>1,17</w:t>
      </w:r>
      <w:r w:rsidRPr="002F024D">
        <w:t xml:space="preserve">). </w:t>
      </w:r>
      <w:r w:rsidRPr="009958A1">
        <w:rPr>
          <w:lang w:val="en-GB"/>
        </w:rPr>
        <w:t>Palveluiden</w:t>
      </w:r>
      <w:r w:rsidRPr="009958A1">
        <w:rPr>
          <w:lang w:val="en-GB"/>
        </w:rPr>
        <w:t xml:space="preserve"> </w:t>
      </w:r>
      <w:r w:rsidRPr="009958A1">
        <w:rPr>
          <w:lang w:val="en-GB"/>
        </w:rPr>
        <w:t>tilauskertymä</w:t>
      </w:r>
      <w:r w:rsidRPr="009958A1">
        <w:rPr>
          <w:lang w:val="en-GB"/>
        </w:rPr>
        <w:t xml:space="preserve"> </w:t>
      </w:r>
      <w:r w:rsidRPr="009958A1">
        <w:rPr>
          <w:lang w:val="en-GB"/>
        </w:rPr>
        <w:t>laski 19% 1 070 miljoonaan euroon</w:t>
      </w:r>
      <w:r w:rsidRPr="009958A1">
        <w:rPr>
          <w:lang w:val="en-GB"/>
        </w:rPr>
        <w:t xml:space="preserve"> (</w:t>
      </w:r>
      <w:r w:rsidRPr="009958A1">
        <w:rPr>
          <w:lang w:val="en-GB"/>
        </w:rPr>
        <w:t>1 315</w:t>
      </w:r>
      <w:r w:rsidRPr="009958A1">
        <w:rPr>
          <w:lang w:val="en-GB"/>
        </w:rPr>
        <w:t>)</w:t>
      </w:r>
      <w:r w:rsidRPr="009958A1" w:rsidR="009958A1">
        <w:rPr>
          <w:lang w:val="en-GB"/>
        </w:rPr>
        <w:t>.</w:t>
      </w:r>
      <w:r w:rsidR="009958A1">
        <w:rPr>
          <w:lang w:val="en-GB"/>
        </w:rPr>
        <w:t xml:space="preserve"> </w:t>
      </w:r>
      <w:r w:rsidR="009958A1">
        <w:t>Lasku oli suurinta risteilyalussegmentillä, jossa alusten käyttöaste pysyi matalana koko vuoden ajan.</w:t>
      </w:r>
      <w:r w:rsidRPr="009958A1">
        <w:t xml:space="preserve"> </w:t>
      </w:r>
      <w:r w:rsidRPr="009958A1" w:rsidR="009958A1">
        <w:rPr>
          <w:lang w:val="en-GB"/>
        </w:rPr>
        <w:t>L</w:t>
      </w:r>
      <w:r w:rsidRPr="009958A1">
        <w:rPr>
          <w:lang w:val="en-GB"/>
        </w:rPr>
        <w:t>aitteiden</w:t>
      </w:r>
      <w:r w:rsidRPr="009958A1">
        <w:rPr>
          <w:lang w:val="en-GB"/>
        </w:rPr>
        <w:t xml:space="preserve"> </w:t>
      </w:r>
      <w:r w:rsidRPr="009958A1">
        <w:rPr>
          <w:lang w:val="en-GB"/>
        </w:rPr>
        <w:t>tilauskertymä</w:t>
      </w:r>
      <w:r w:rsidRPr="009958A1">
        <w:rPr>
          <w:lang w:val="en-GB"/>
        </w:rPr>
        <w:t xml:space="preserve"> </w:t>
      </w:r>
      <w:r w:rsidRPr="009958A1">
        <w:rPr>
          <w:lang w:val="en-GB"/>
        </w:rPr>
        <w:t>laski 28% 667 miljoonaan euroon</w:t>
      </w:r>
      <w:r w:rsidRPr="009958A1">
        <w:rPr>
          <w:lang w:val="en-GB"/>
        </w:rPr>
        <w:t xml:space="preserve"> (</w:t>
      </w:r>
      <w:r w:rsidRPr="009958A1">
        <w:rPr>
          <w:lang w:val="en-GB"/>
        </w:rPr>
        <w:t>931</w:t>
      </w:r>
      <w:r w:rsidRPr="009958A1">
        <w:rPr>
          <w:lang w:val="en-GB"/>
        </w:rPr>
        <w:t xml:space="preserve">). </w:t>
      </w:r>
      <w:r w:rsidR="009958A1">
        <w:rPr>
          <w:rFonts w:ascii="Helvetica" w:hAnsi="Helvetica" w:cs="Helvetica"/>
          <w:color w:val="333333"/>
          <w:shd w:val="clear" w:color="auto" w:fill="FFFFFF"/>
        </w:rPr>
        <w:t xml:space="preserve">Kysyntä oli vahvinta sekä perinteiset kauppalaivat että kaasunkuljetusalukset sisältävällä kauppalaivasegmentillä, jonka osuus tilauskertymästä oli 35% laitteissa ja 42% palveluissa. </w:t>
      </w:r>
      <w:r w:rsidR="009958A1">
        <w:rPr>
          <w:rFonts w:ascii="Helvetica" w:hAnsi="Helvetica" w:cs="Helvetica"/>
          <w:color w:val="333333"/>
          <w:shd w:val="clear" w:color="auto" w:fill="FFFFFF"/>
        </w:rPr>
        <w:t>Tältä segmentiltä saatiin</w:t>
      </w:r>
      <w:r w:rsidR="009958A1">
        <w:rPr>
          <w:rFonts w:ascii="Helvetica" w:hAnsi="Helvetica" w:cs="Helvetica"/>
          <w:color w:val="333333"/>
          <w:shd w:val="clear" w:color="auto" w:fill="FFFFFF"/>
        </w:rPr>
        <w:t xml:space="preserve"> huomattav</w:t>
      </w:r>
      <w:r w:rsidR="009958A1">
        <w:rPr>
          <w:rFonts w:ascii="Helvetica" w:hAnsi="Helvetica" w:cs="Helvetica"/>
          <w:color w:val="333333"/>
          <w:shd w:val="clear" w:color="auto" w:fill="FFFFFF"/>
        </w:rPr>
        <w:t xml:space="preserve">an suuri </w:t>
      </w:r>
      <w:r w:rsidR="009958A1">
        <w:t xml:space="preserve">monipolttoainemoottoreiden </w:t>
      </w:r>
      <w:r w:rsidR="009958A1">
        <w:t>tilaus</w:t>
      </w:r>
      <w:r w:rsidR="009958A1">
        <w:t xml:space="preserve"> kuuteen uuteen LNG-alukseen </w:t>
      </w:r>
      <w:r w:rsidR="009958A1">
        <w:t>sekä</w:t>
      </w:r>
      <w:r w:rsidR="009958A1">
        <w:t xml:space="preserve"> täysin integroidun Wärtsilän hybridiratkaisun </w:t>
      </w:r>
      <w:r w:rsidR="009958A1">
        <w:t>tilaus</w:t>
      </w:r>
      <w:r w:rsidR="009958A1">
        <w:t xml:space="preserve"> </w:t>
      </w:r>
      <w:r w:rsidR="009958A1">
        <w:t>Misje</w:t>
      </w:r>
      <w:r w:rsidR="009958A1">
        <w:t xml:space="preserve"> </w:t>
      </w:r>
      <w:r w:rsidR="009958A1">
        <w:t>Rederin</w:t>
      </w:r>
      <w:r w:rsidR="009958A1">
        <w:t xml:space="preserve"> kolmeen uuteen ympäristötehokkaaseen 5 000 DWT:n irtolastialukseen</w:t>
      </w:r>
      <w:r w:rsidR="009958A1">
        <w:t xml:space="preserve">. Muita huomattavia tilauksia olivat </w:t>
      </w:r>
      <w:r w:rsidR="009958A1">
        <w:rPr>
          <w:rFonts w:ascii="Helvetica" w:hAnsi="Helvetica" w:cs="Helvetica"/>
          <w:color w:val="333333"/>
          <w:shd w:val="clear" w:color="auto" w:fill="FFFFFF"/>
        </w:rPr>
        <w:t>moottoreiden ja sähköratkaisujen toimitus kahteen uuteen Finnlinesille rakenteilla olevaan lauttaan sekä</w:t>
      </w:r>
      <w:r w:rsidR="009958A1">
        <w:t xml:space="preserve"> Wärtsilä 14 EUR </w:t>
      </w:r>
      <w:r w:rsidR="009958A1">
        <w:t>Stage</w:t>
      </w:r>
      <w:r w:rsidR="009958A1">
        <w:t xml:space="preserve"> V -yhteensopivien moottoreiden ja niihin liittyvien päästöjenhallinnan jälkikäsittelyjärjestelmien toimitus kahteen uuteen matkustajalauttaan, jotka rakennetaan Sveitsin ja Ranskan väliseen liikenteeseen.</w:t>
      </w:r>
      <w:r w:rsidR="009958A1">
        <w:t xml:space="preserve"> </w:t>
      </w:r>
      <w:r>
        <w:t>Vuo</w:t>
      </w:r>
      <w:r w:rsidRPr="002F024D">
        <w:t>den lopun tilauskanta </w:t>
      </w:r>
      <w:r w:rsidRPr="002F024D">
        <w:t>laski 9% 1 839 miljoonaan euroon</w:t>
      </w:r>
      <w:r w:rsidRPr="002F024D">
        <w:t xml:space="preserve"> (</w:t>
      </w:r>
      <w:r w:rsidRPr="002F024D">
        <w:t>2 019</w:t>
      </w:r>
      <w:r w:rsidRPr="002F024D">
        <w:t>).</w:t>
      </w:r>
    </w:p>
    <w:p w:rsidR="00414822" w:rsidRPr="002F024D" w:rsidP="002F024D" w14:paraId="5986E321" w14:textId="12B06D65">
      <w:pPr>
        <w:pStyle w:val="WNormal"/>
      </w:pPr>
      <w:r w:rsidRPr="002F024D">
        <w:t>Liikevaihto</w:t>
      </w:r>
      <w:r w:rsidRPr="002F024D" w:rsidR="009C6AC2">
        <w:t xml:space="preserve"> </w:t>
      </w:r>
      <w:r w:rsidRPr="002F024D">
        <w:t>laski 9% 1 748 miljoonaan euroon</w:t>
      </w:r>
      <w:r w:rsidRPr="002F024D">
        <w:t xml:space="preserve"> (</w:t>
      </w:r>
      <w:r w:rsidRPr="002F024D">
        <w:t>1 923</w:t>
      </w:r>
      <w:r w:rsidRPr="002F024D">
        <w:t xml:space="preserve">) edellisvuoteen nähden. </w:t>
      </w:r>
      <w:r w:rsidRPr="002F024D">
        <w:rPr>
          <w:lang w:val="en-GB"/>
        </w:rPr>
        <w:t xml:space="preserve">Palveluiden liikevaihto </w:t>
      </w:r>
      <w:r w:rsidRPr="002F024D">
        <w:rPr>
          <w:lang w:val="en-GB"/>
        </w:rPr>
        <w:t>laski 14% 1 096 miljoonaan euroon</w:t>
      </w:r>
      <w:r w:rsidRPr="002F024D">
        <w:rPr>
          <w:lang w:val="en-GB"/>
        </w:rPr>
        <w:t xml:space="preserve"> (</w:t>
      </w:r>
      <w:r w:rsidRPr="002F024D">
        <w:rPr>
          <w:lang w:val="en-GB"/>
        </w:rPr>
        <w:t>1 279</w:t>
      </w:r>
      <w:r w:rsidRPr="002F024D">
        <w:rPr>
          <w:lang w:val="en-GB"/>
        </w:rPr>
        <w:t xml:space="preserve">), kun taas laitteiden liikevaihto </w:t>
      </w:r>
      <w:r w:rsidRPr="002F024D">
        <w:rPr>
          <w:lang w:val="en-GB"/>
        </w:rPr>
        <w:t>kasvoi 1% 652 miljoonaan euroon</w:t>
      </w:r>
      <w:r w:rsidRPr="002F024D">
        <w:rPr>
          <w:lang w:val="en-GB"/>
        </w:rPr>
        <w:t xml:space="preserve"> (</w:t>
      </w:r>
      <w:r w:rsidRPr="002F024D">
        <w:rPr>
          <w:lang w:val="en-GB"/>
        </w:rPr>
        <w:t>643</w:t>
      </w:r>
      <w:r w:rsidRPr="002F024D">
        <w:rPr>
          <w:lang w:val="en-GB"/>
        </w:rPr>
        <w:t>). </w:t>
      </w:r>
      <w:r w:rsidRPr="009958A1">
        <w:t xml:space="preserve">Vertailukelpoinen liiketulos oli </w:t>
      </w:r>
      <w:r w:rsidRPr="009958A1">
        <w:t>137</w:t>
      </w:r>
      <w:r w:rsidRPr="009958A1">
        <w:t xml:space="preserve"> miljoonaa euroa (</w:t>
      </w:r>
      <w:r w:rsidRPr="009958A1">
        <w:t>273</w:t>
      </w:r>
      <w:r w:rsidRPr="002F024D">
        <w:rPr>
          <w:lang w:val="en-GB"/>
        </w:rPr>
        <w:t xml:space="preserve">) </w:t>
      </w:r>
      <w:r w:rsidRPr="002F024D">
        <w:rPr>
          <w:lang w:val="en-GB"/>
        </w:rPr>
        <w:t>eli</w:t>
      </w:r>
      <w:r w:rsidRPr="002F024D">
        <w:rPr>
          <w:lang w:val="en-GB"/>
        </w:rPr>
        <w:t xml:space="preserve"> </w:t>
      </w:r>
      <w:r w:rsidRPr="002F024D">
        <w:rPr>
          <w:lang w:val="en-GB"/>
        </w:rPr>
        <w:t>7,8</w:t>
      </w:r>
      <w:r w:rsidRPr="002F024D">
        <w:rPr>
          <w:lang w:val="en-GB"/>
        </w:rPr>
        <w:t>% liikevaihdosta (</w:t>
      </w:r>
      <w:r w:rsidRPr="002F024D">
        <w:rPr>
          <w:lang w:val="en-GB"/>
        </w:rPr>
        <w:t>14,2</w:t>
      </w:r>
      <w:r w:rsidRPr="002F024D">
        <w:t xml:space="preserve">). </w:t>
      </w:r>
      <w:r w:rsidR="00AB6ACE">
        <w:t>Tulosta rasittivat koronavirukseen liittyvä palveluliiketoiminnan väheneminen ja kapasiteetin alhaisempi käyttöaste.</w:t>
      </w:r>
      <w:r w:rsidRPr="002F024D" w:rsidR="008C1893">
        <w:rPr>
          <w:color w:val="FF0000"/>
        </w:rPr>
        <w:t xml:space="preserve"> </w:t>
      </w:r>
    </w:p>
    <w:p w:rsidR="008C1893" w:rsidRPr="008D7086" w:rsidP="00D97042" w14:paraId="6D7DE956" w14:textId="4DE15E67">
      <w:pPr>
        <w:pStyle w:val="WHeading4"/>
      </w:pPr>
      <w:r w:rsidRPr="008D7086">
        <w:t xml:space="preserve">Wärtsilä Marine </w:t>
      </w:r>
      <w:r>
        <w:t>Systems</w:t>
      </w:r>
    </w:p>
    <w:p w:rsidR="008C1893" w:rsidRPr="008C1893" w:rsidP="008C1893" w14:paraId="5D739D90" w14:textId="547FE589">
      <w:pPr>
        <w:pStyle w:val="WNormal"/>
      </w:pPr>
      <w:r w:rsidRPr="008D7086">
        <w:t xml:space="preserve">Marine </w:t>
      </w:r>
      <w:r>
        <w:t>Systemsin</w:t>
      </w:r>
      <w:r w:rsidRPr="008C1893">
        <w:t xml:space="preserve"> </w:t>
      </w:r>
      <w:r>
        <w:t>t</w:t>
      </w:r>
      <w:r w:rsidRPr="008C1893">
        <w:t>ilauskertymä </w:t>
      </w:r>
      <w:r>
        <w:t xml:space="preserve">vuonna </w:t>
      </w:r>
      <w:r>
        <w:t>2020</w:t>
      </w:r>
      <w:r>
        <w:t xml:space="preserve"> </w:t>
      </w:r>
      <w:r w:rsidRPr="008C1893">
        <w:t>laski 28% 539 miljoonaan euroon</w:t>
      </w:r>
      <w:r w:rsidRPr="008C1893">
        <w:t xml:space="preserve"> (</w:t>
      </w:r>
      <w:r w:rsidRPr="008C1893">
        <w:t>754</w:t>
      </w:r>
      <w:r w:rsidRPr="008C1893">
        <w:t>) edellisvuoteen nähden</w:t>
      </w:r>
      <w:r w:rsidR="00F503F7">
        <w:t xml:space="preserve"> </w:t>
      </w:r>
      <w:r w:rsidR="00F503F7">
        <w:t>polttoaineiden pienentyneiden hintaerojen vähentäessä rikkipesuri-investointeja</w:t>
      </w:r>
      <w:r w:rsidRPr="008C1893">
        <w:t>.</w:t>
      </w:r>
      <w:r w:rsidRPr="008C1893">
        <w:t xml:space="preserve"> Tilaus-laskutussuhde oli </w:t>
      </w:r>
      <w:r w:rsidRPr="008C1893">
        <w:t>0,67</w:t>
      </w:r>
      <w:r w:rsidRPr="008C1893">
        <w:t xml:space="preserve"> (</w:t>
      </w:r>
      <w:r w:rsidRPr="008C1893">
        <w:t>0,79</w:t>
      </w:r>
      <w:r w:rsidRPr="008C1893">
        <w:t xml:space="preserve">). Palveluiden tilauskertymä </w:t>
      </w:r>
      <w:r w:rsidRPr="008C1893">
        <w:t>laski 11% 205 miljoonaan euroon</w:t>
      </w:r>
      <w:r w:rsidRPr="008C1893">
        <w:t xml:space="preserve"> (</w:t>
      </w:r>
      <w:r w:rsidRPr="008C1893">
        <w:t>230</w:t>
      </w:r>
      <w:r w:rsidRPr="008C1893">
        <w:t xml:space="preserve">). </w:t>
      </w:r>
      <w:r w:rsidRPr="00F503F7">
        <w:rPr>
          <w:lang w:val="en-GB"/>
        </w:rPr>
        <w:t>Laitteiden</w:t>
      </w:r>
      <w:r w:rsidRPr="00F503F7">
        <w:rPr>
          <w:lang w:val="en-GB"/>
        </w:rPr>
        <w:t xml:space="preserve"> </w:t>
      </w:r>
      <w:r w:rsidRPr="00F503F7">
        <w:rPr>
          <w:lang w:val="en-GB"/>
        </w:rPr>
        <w:t>tilauskertymä</w:t>
      </w:r>
      <w:r w:rsidRPr="00F503F7">
        <w:rPr>
          <w:lang w:val="en-GB"/>
        </w:rPr>
        <w:t xml:space="preserve"> </w:t>
      </w:r>
      <w:r w:rsidRPr="00F503F7">
        <w:rPr>
          <w:lang w:val="en-GB"/>
        </w:rPr>
        <w:t>laski 36% 334 miljoonaan euroon</w:t>
      </w:r>
      <w:r w:rsidRPr="00F503F7">
        <w:rPr>
          <w:lang w:val="en-GB"/>
        </w:rPr>
        <w:t xml:space="preserve"> (</w:t>
      </w:r>
      <w:r w:rsidRPr="00F503F7">
        <w:rPr>
          <w:lang w:val="en-GB"/>
        </w:rPr>
        <w:t>523</w:t>
      </w:r>
      <w:r w:rsidRPr="00F503F7">
        <w:rPr>
          <w:lang w:val="en-GB"/>
        </w:rPr>
        <w:t>)</w:t>
      </w:r>
      <w:r w:rsidRPr="00F503F7">
        <w:rPr>
          <w:lang w:val="en-GB"/>
        </w:rPr>
        <w:t>.</w:t>
      </w:r>
      <w:r w:rsidRPr="00F503F7" w:rsidR="00F503F7">
        <w:rPr>
          <w:lang w:val="en-GB"/>
        </w:rPr>
        <w:t xml:space="preserve"> </w:t>
      </w:r>
      <w:r w:rsidR="00F503F7">
        <w:t xml:space="preserve">Vuoden aikana saatuihin huomattaviin tilauksiin sisältyi ensimmäinen </w:t>
      </w:r>
      <w:r w:rsidR="00F503F7">
        <w:rPr>
          <w:szCs w:val="18"/>
        </w:rPr>
        <w:t>Compact</w:t>
      </w:r>
      <w:r w:rsidR="00F503F7">
        <w:rPr>
          <w:szCs w:val="18"/>
        </w:rPr>
        <w:t xml:space="preserve"> </w:t>
      </w:r>
      <w:r w:rsidR="00F503F7">
        <w:rPr>
          <w:szCs w:val="18"/>
        </w:rPr>
        <w:t>Reliq</w:t>
      </w:r>
      <w:r w:rsidR="00F503F7">
        <w:rPr>
          <w:szCs w:val="18"/>
        </w:rPr>
        <w:t xml:space="preserve"> -uudelleennesteytyslaitoksen tilaus</w:t>
      </w:r>
      <w:r w:rsidR="00F503F7">
        <w:t xml:space="preserve">. </w:t>
      </w:r>
      <w:r w:rsidR="00F503F7">
        <w:rPr>
          <w:szCs w:val="18"/>
        </w:rPr>
        <w:t>Järjestelmä on suunniteltu nesteyttämään höyrystymiskaasu (</w:t>
      </w:r>
      <w:r w:rsidR="00F503F7">
        <w:rPr>
          <w:szCs w:val="18"/>
        </w:rPr>
        <w:t>boil-off</w:t>
      </w:r>
      <w:r w:rsidR="00F503F7">
        <w:rPr>
          <w:szCs w:val="18"/>
        </w:rPr>
        <w:t xml:space="preserve"> </w:t>
      </w:r>
      <w:r w:rsidR="00F503F7">
        <w:rPr>
          <w:szCs w:val="18"/>
        </w:rPr>
        <w:t>gas</w:t>
      </w:r>
      <w:r w:rsidR="00F503F7">
        <w:rPr>
          <w:szCs w:val="18"/>
        </w:rPr>
        <w:t>, BOG) uudelleen kaasunkuljetusaluksilla ja LNG-bunkkerialuksilla sekä pitämään rahti viileänä kaikissa olosuhteissa</w:t>
      </w:r>
      <w:r w:rsidR="00F503F7">
        <w:rPr>
          <w:szCs w:val="18"/>
        </w:rPr>
        <w:t xml:space="preserve">. Wärtsilä sai myös tilauksen toimittaa ja rakentaa </w:t>
      </w:r>
      <w:r w:rsidR="00F503F7">
        <w:rPr>
          <w:szCs w:val="18"/>
        </w:rPr>
        <w:t>vuosikapasiteetiltaan noin 100 000 tonnin hiilineutraalien nestemäisten liikennepolttoaineiden tuotantolaito</w:t>
      </w:r>
      <w:r w:rsidR="00F503F7">
        <w:rPr>
          <w:szCs w:val="18"/>
        </w:rPr>
        <w:t>s</w:t>
      </w:r>
      <w:r w:rsidR="00F503F7">
        <w:rPr>
          <w:szCs w:val="18"/>
        </w:rPr>
        <w:t xml:space="preserve"> Kölniin, Saksaan</w:t>
      </w:r>
      <w:r w:rsidR="00F503F7">
        <w:t>.</w:t>
      </w:r>
      <w:r w:rsidRPr="00F503F7">
        <w:t xml:space="preserve"> </w:t>
      </w:r>
      <w:r>
        <w:t>Vuo</w:t>
      </w:r>
      <w:r w:rsidRPr="008C1893">
        <w:t>den lopun tilauskanta </w:t>
      </w:r>
      <w:r w:rsidRPr="008C1893">
        <w:t>laski 31% 857 miljoonaan euroon</w:t>
      </w:r>
      <w:r w:rsidRPr="008C1893">
        <w:t xml:space="preserve"> (</w:t>
      </w:r>
      <w:r w:rsidRPr="008C1893">
        <w:t>1 232</w:t>
      </w:r>
      <w:r w:rsidRPr="008C1893">
        <w:t xml:space="preserve">) </w:t>
      </w:r>
      <w:r w:rsidR="00F503F7">
        <w:t>rikkipesuritilausten puutteesta johtuen</w:t>
      </w:r>
      <w:r w:rsidRPr="008C1893">
        <w:t>.</w:t>
      </w:r>
    </w:p>
    <w:p w:rsidR="008C1893" w:rsidRPr="008C1893" w:rsidP="008C1893" w14:paraId="0CDC48D3" w14:textId="50B83828">
      <w:pPr>
        <w:pStyle w:val="WNormal"/>
      </w:pPr>
      <w:r w:rsidRPr="009958A1">
        <w:t xml:space="preserve">Liikevaihto </w:t>
      </w:r>
      <w:r w:rsidRPr="009958A1">
        <w:t>laski 15% 808 miljoonaan euroon</w:t>
      </w:r>
      <w:r w:rsidRPr="009958A1">
        <w:t xml:space="preserve"> (</w:t>
      </w:r>
      <w:r w:rsidRPr="009958A1">
        <w:t>952</w:t>
      </w:r>
      <w:r w:rsidRPr="009958A1">
        <w:t xml:space="preserve">) edellisvuoteen nähden. Palveluiden liikevaihto </w:t>
      </w:r>
      <w:r w:rsidRPr="009958A1">
        <w:t>kasvoi 8% 219 miljoonaan euroon</w:t>
      </w:r>
      <w:r w:rsidRPr="009958A1">
        <w:t xml:space="preserve"> (</w:t>
      </w:r>
      <w:r w:rsidRPr="009958A1">
        <w:t>202</w:t>
      </w:r>
      <w:r w:rsidRPr="009958A1">
        <w:t xml:space="preserve">), kun taas </w:t>
      </w:r>
      <w:r w:rsidRPr="009958A1">
        <w:t xml:space="preserve">laitteiden liikevaihto </w:t>
      </w:r>
      <w:r w:rsidRPr="009958A1">
        <w:t>laski 22% 588 miljoonaan euroon</w:t>
      </w:r>
      <w:r w:rsidRPr="009958A1">
        <w:t xml:space="preserve"> (</w:t>
      </w:r>
      <w:r w:rsidRPr="009958A1">
        <w:t>750</w:t>
      </w:r>
      <w:r w:rsidRPr="009958A1">
        <w:t xml:space="preserve">). Vertailukelpoinen liiketulos oli </w:t>
      </w:r>
      <w:r w:rsidRPr="009958A1">
        <w:t>83</w:t>
      </w:r>
      <w:r w:rsidRPr="009958A1">
        <w:t xml:space="preserve"> miljoonaa euroa (</w:t>
      </w:r>
      <w:r w:rsidRPr="009958A1">
        <w:t>60</w:t>
      </w:r>
      <w:r w:rsidRPr="008C1893">
        <w:rPr>
          <w:lang w:val="en-GB"/>
        </w:rPr>
        <w:t xml:space="preserve">) </w:t>
      </w:r>
      <w:r w:rsidRPr="008C1893">
        <w:rPr>
          <w:lang w:val="en-GB"/>
        </w:rPr>
        <w:t>eli</w:t>
      </w:r>
      <w:r w:rsidRPr="008C1893">
        <w:rPr>
          <w:lang w:val="en-GB"/>
        </w:rPr>
        <w:t xml:space="preserve"> </w:t>
      </w:r>
      <w:r w:rsidRPr="008C1893">
        <w:rPr>
          <w:lang w:val="en-GB"/>
        </w:rPr>
        <w:t>10,3</w:t>
      </w:r>
      <w:r w:rsidRPr="008C1893">
        <w:rPr>
          <w:lang w:val="en-GB"/>
        </w:rPr>
        <w:t>% liikevaihdosta (</w:t>
      </w:r>
      <w:r w:rsidRPr="008C1893">
        <w:rPr>
          <w:lang w:val="en-GB"/>
        </w:rPr>
        <w:t>6,3</w:t>
      </w:r>
      <w:r w:rsidRPr="008C1893">
        <w:rPr>
          <w:lang w:val="en-GB"/>
        </w:rPr>
        <w:t xml:space="preserve">). </w:t>
      </w:r>
      <w:r w:rsidR="00F503F7">
        <w:t xml:space="preserve">Vertailukauden liiketulosta heikensivät </w:t>
      </w:r>
      <w:r w:rsidR="00F503F7">
        <w:rPr>
          <w:szCs w:val="18"/>
        </w:rPr>
        <w:t>eräiden kaasuratkaisuprojektien kustannusylitykset</w:t>
      </w:r>
      <w:r w:rsidR="00F503F7">
        <w:rPr>
          <w:color w:val="FF0000"/>
        </w:rPr>
        <w:t>.</w:t>
      </w:r>
      <w:r w:rsidRPr="008C1893">
        <w:rPr>
          <w:color w:val="FF0000"/>
        </w:rPr>
        <w:t xml:space="preserve"> </w:t>
      </w:r>
    </w:p>
    <w:p w:rsidR="008C1893" w:rsidRPr="008D7086" w:rsidP="00D97042" w14:paraId="79E28823" w14:textId="5E916935">
      <w:pPr>
        <w:pStyle w:val="WHeading4"/>
      </w:pPr>
      <w:r w:rsidRPr="008D7086">
        <w:t xml:space="preserve">Wärtsilä </w:t>
      </w:r>
      <w:r>
        <w:t>Voyage</w:t>
      </w:r>
    </w:p>
    <w:p w:rsidR="008C1893" w:rsidRPr="008C1893" w:rsidP="008C1893" w14:paraId="3903CDC0" w14:textId="2044D86A">
      <w:pPr>
        <w:pStyle w:val="WNormal"/>
      </w:pPr>
      <w:r>
        <w:t>Voyagen t</w:t>
      </w:r>
      <w:r w:rsidRPr="008C1893">
        <w:t>ilauskertymä </w:t>
      </w:r>
      <w:r>
        <w:t xml:space="preserve">vuonna </w:t>
      </w:r>
      <w:r>
        <w:t>2020</w:t>
      </w:r>
      <w:r w:rsidRPr="008C1893">
        <w:t> </w:t>
      </w:r>
      <w:r w:rsidRPr="008C1893">
        <w:t>laski 16% 262 miljoonaan euroon</w:t>
      </w:r>
      <w:r w:rsidRPr="008C1893">
        <w:t xml:space="preserve"> (</w:t>
      </w:r>
      <w:r w:rsidRPr="008C1893">
        <w:t>310</w:t>
      </w:r>
      <w:r w:rsidRPr="008C1893">
        <w:t xml:space="preserve">) edellisvuoteen nähden. Tilaus-laskutussuhde oli </w:t>
      </w:r>
      <w:r w:rsidRPr="008C1893">
        <w:t>1,06</w:t>
      </w:r>
      <w:r w:rsidRPr="008C1893">
        <w:t xml:space="preserve"> (</w:t>
      </w:r>
      <w:r w:rsidRPr="008C1893">
        <w:t>1,11</w:t>
      </w:r>
      <w:r w:rsidRPr="008C1893">
        <w:t xml:space="preserve">). Palveluiden tilauskertymä </w:t>
      </w:r>
      <w:r w:rsidRPr="008C1893">
        <w:t>laski 22% 92 miljoonaan euroon</w:t>
      </w:r>
      <w:r w:rsidRPr="008C1893">
        <w:t xml:space="preserve"> </w:t>
      </w:r>
      <w:r w:rsidRPr="008C1893">
        <w:t>(</w:t>
      </w:r>
      <w:r w:rsidRPr="008C1893">
        <w:t>117</w:t>
      </w:r>
      <w:r w:rsidRPr="008C1893">
        <w:t xml:space="preserve">), kun taas laitteiden tilauskertymä </w:t>
      </w:r>
      <w:r w:rsidRPr="008C1893">
        <w:t>laski 12% 170 miljoonaan euroon</w:t>
      </w:r>
      <w:r w:rsidRPr="008C1893">
        <w:t xml:space="preserve"> (</w:t>
      </w:r>
      <w:r w:rsidRPr="008C1893">
        <w:t>193</w:t>
      </w:r>
      <w:r w:rsidRPr="008C1893">
        <w:t xml:space="preserve">). </w:t>
      </w:r>
      <w:r w:rsidR="00C842D7">
        <w:t xml:space="preserve">Vaikka koronavirus painoi risteilytoimialalta saatuja tilauksia, alusten toimintoja optimoivien ratkaisujen tilauskertymä kehittyi hyvin. Wärtsilä sai myös suuria uudisprojektien tilauksia muilta segmenteiltä. </w:t>
      </w:r>
      <w:r w:rsidR="00B31E20">
        <w:t xml:space="preserve">Vuoden kohokohtiin kuului </w:t>
      </w:r>
      <w:r w:rsidR="00B31E20">
        <w:t>UltraShip</w:t>
      </w:r>
      <w:r w:rsidR="00B31E20">
        <w:t xml:space="preserve"> </w:t>
      </w:r>
      <w:r w:rsidR="00B31E20">
        <w:t>Denmark</w:t>
      </w:r>
      <w:r w:rsidR="00B31E20">
        <w:t>in</w:t>
      </w:r>
      <w:r w:rsidR="00B31E20">
        <w:t xml:space="preserve"> kanssa</w:t>
      </w:r>
      <w:r w:rsidR="00B31E20">
        <w:t xml:space="preserve"> solmi</w:t>
      </w:r>
      <w:r w:rsidR="00B31E20">
        <w:t>ttu</w:t>
      </w:r>
      <w:r w:rsidR="00B31E20">
        <w:t xml:space="preserve"> sopimu</w:t>
      </w:r>
      <w:r w:rsidR="00B31E20">
        <w:t>s</w:t>
      </w:r>
      <w:r w:rsidR="00B31E20">
        <w:t xml:space="preserve"> pilvipohjais</w:t>
      </w:r>
      <w:r w:rsidR="00B31E20">
        <w:t>en</w:t>
      </w:r>
      <w:r w:rsidR="00B31E20">
        <w:t xml:space="preserve"> Wärtsilä </w:t>
      </w:r>
      <w:r w:rsidR="00B31E20">
        <w:t>Fleet</w:t>
      </w:r>
      <w:r w:rsidR="00B31E20">
        <w:t xml:space="preserve"> </w:t>
      </w:r>
      <w:r w:rsidR="00B31E20">
        <w:t>Operations</w:t>
      </w:r>
      <w:r w:rsidR="00B31E20">
        <w:t xml:space="preserve"> </w:t>
      </w:r>
      <w:r w:rsidR="00B31E20">
        <w:t>Solution</w:t>
      </w:r>
      <w:r w:rsidR="00B31E20">
        <w:t xml:space="preserve"> (FOS) -ratkaisu</w:t>
      </w:r>
      <w:r w:rsidR="00B31E20">
        <w:t xml:space="preserve">n </w:t>
      </w:r>
      <w:r w:rsidR="00B31E20">
        <w:t>asentamisesta</w:t>
      </w:r>
      <w:r w:rsidR="00B31E20">
        <w:t xml:space="preserve"> yhtiön</w:t>
      </w:r>
      <w:r w:rsidR="00B31E20">
        <w:t xml:space="preserve"> koko laivastoon</w:t>
      </w:r>
      <w:r w:rsidR="00B31E20">
        <w:t>, mikä</w:t>
      </w:r>
      <w:r w:rsidR="00B31E20">
        <w:t xml:space="preserve"> mahdollista</w:t>
      </w:r>
      <w:r w:rsidR="00B31E20">
        <w:t>a</w:t>
      </w:r>
      <w:r w:rsidR="00B31E20">
        <w:t xml:space="preserve"> suoran, reaaliaikaisen yhteyden rannikon ja alusten välillä ja siten yhteistyössä tapahtuvan matkan suunnittelun ja toteuttamisen. </w:t>
      </w:r>
      <w:r w:rsidRPr="008C1893">
        <w:t>Vuoden lopun tilauskanta </w:t>
      </w:r>
      <w:r w:rsidRPr="008C1893">
        <w:t>oli vakaa 275 miljoonaa euroa</w:t>
      </w:r>
      <w:r w:rsidRPr="008C1893">
        <w:t xml:space="preserve"> (</w:t>
      </w:r>
      <w:r w:rsidRPr="008C1893">
        <w:t>274</w:t>
      </w:r>
      <w:r w:rsidRPr="008C1893">
        <w:t xml:space="preserve">). </w:t>
      </w:r>
    </w:p>
    <w:p w:rsidR="008C1893" w:rsidRPr="008C1893" w:rsidP="008C1893" w14:paraId="0DDF276B" w14:textId="42976C3D">
      <w:pPr>
        <w:pStyle w:val="WNormal"/>
      </w:pPr>
      <w:r w:rsidRPr="008C1893">
        <w:t>Liikevaihto </w:t>
      </w:r>
      <w:r w:rsidRPr="008C1893">
        <w:t>laski 12% 248 miljoonaan euroon</w:t>
      </w:r>
      <w:r w:rsidRPr="008C1893">
        <w:t xml:space="preserve"> (</w:t>
      </w:r>
      <w:r w:rsidRPr="008C1893">
        <w:t>280</w:t>
      </w:r>
      <w:r w:rsidRPr="008C1893">
        <w:t xml:space="preserve">) edellisvuoteen nähden. </w:t>
      </w:r>
      <w:r w:rsidR="00B31E20">
        <w:t xml:space="preserve">Laskun taustalla oli pääasiassa koronaviruspandemia, joka on johtanut projektien lykkäyksiin sekä muiden kuin sopimuspohjaisten palveluiden kysynnän </w:t>
      </w:r>
      <w:r w:rsidR="00B31E20">
        <w:t>laskuun.</w:t>
      </w:r>
      <w:r w:rsidR="00B31E20">
        <w:rPr>
          <w:b/>
          <w:bCs/>
        </w:rPr>
        <w:t xml:space="preserve"> </w:t>
      </w:r>
      <w:r w:rsidRPr="009958A1">
        <w:t>Palveluiden liikevaiht</w:t>
      </w:r>
      <w:r w:rsidRPr="009958A1">
        <w:t xml:space="preserve">o </w:t>
      </w:r>
      <w:r w:rsidRPr="009958A1">
        <w:t>laski 18% 85 miljoonaan euroon</w:t>
      </w:r>
      <w:r w:rsidRPr="009958A1">
        <w:t xml:space="preserve"> (</w:t>
      </w:r>
      <w:r w:rsidRPr="009958A1">
        <w:t>103</w:t>
      </w:r>
      <w:r w:rsidRPr="009958A1">
        <w:t xml:space="preserve">), kun taas laitteiden liikevaihto </w:t>
      </w:r>
      <w:r w:rsidRPr="009958A1">
        <w:t>laski 8% 163 miljoonaan euroon</w:t>
      </w:r>
      <w:r w:rsidRPr="009958A1">
        <w:t xml:space="preserve"> (</w:t>
      </w:r>
      <w:r w:rsidRPr="009958A1">
        <w:t>177</w:t>
      </w:r>
      <w:r w:rsidRPr="009958A1">
        <w:t>). </w:t>
      </w:r>
      <w:r w:rsidRPr="008C1893">
        <w:t>Vertailukelpoinen liiketul</w:t>
      </w:r>
      <w:r w:rsidRPr="008C1893">
        <w:t xml:space="preserve">os oli </w:t>
      </w:r>
      <w:r w:rsidRPr="008C1893">
        <w:t>-41</w:t>
      </w:r>
      <w:r w:rsidRPr="008C1893">
        <w:t xml:space="preserve"> miljoonaa euroa (</w:t>
      </w:r>
      <w:r w:rsidRPr="008C1893">
        <w:t>-31</w:t>
      </w:r>
      <w:r w:rsidRPr="008C1893">
        <w:rPr>
          <w:lang w:val="en-GB"/>
        </w:rPr>
        <w:t xml:space="preserve">) eli </w:t>
      </w:r>
      <w:r w:rsidRPr="008C1893">
        <w:rPr>
          <w:lang w:val="en-GB"/>
        </w:rPr>
        <w:t>-16,5</w:t>
      </w:r>
      <w:r w:rsidRPr="008C1893">
        <w:rPr>
          <w:lang w:val="en-GB"/>
        </w:rPr>
        <w:t>% liikevaihdosta (</w:t>
      </w:r>
      <w:r w:rsidRPr="008C1893">
        <w:rPr>
          <w:lang w:val="en-GB"/>
        </w:rPr>
        <w:t>-11,2</w:t>
      </w:r>
      <w:r w:rsidRPr="008C1893">
        <w:t xml:space="preserve">). </w:t>
      </w:r>
      <w:r w:rsidR="00B31E20">
        <w:t>Tulosta heikensivät alhaisemmat myyntivolyymit ja palveluiden epäsuotuisampi jakauma. Lisäksi investointeja digitaaliseen osaamiseen on lisätty Wärtsilän älykkään merenkulun strategian toteutuksen nopeuttamiseksi. Sekä päättyneellä että vertailukaudella liiketulosta rasittivat edelleen monista yritysostoista aiheutuvat poistot.</w:t>
      </w:r>
      <w:r w:rsidRPr="008C1893">
        <w:rPr>
          <w:color w:val="FF0000"/>
        </w:rPr>
        <w:t xml:space="preserve"> </w:t>
      </w:r>
    </w:p>
    <w:p w:rsidR="00B91B7E" w:rsidRPr="0025158F" w:rsidP="00D97042" w14:paraId="1C885F80" w14:textId="6F969B54">
      <w:pPr>
        <w:pStyle w:val="WHeading4"/>
      </w:pPr>
      <w:r w:rsidRPr="0025158F">
        <w:t>Wärtsilä Energy</w:t>
      </w:r>
    </w:p>
    <w:p w:rsidR="008C1893" w:rsidRPr="008C1893" w:rsidP="008C1893" w14:paraId="0076DC0D" w14:textId="0BC18AC7">
      <w:pPr>
        <w:pStyle w:val="WNormal"/>
      </w:pPr>
      <w:r>
        <w:t>Energyn t</w:t>
      </w:r>
      <w:r w:rsidRPr="008C1893">
        <w:t xml:space="preserve">ilauskertymä </w:t>
      </w:r>
      <w:r>
        <w:t xml:space="preserve">vuonna </w:t>
      </w:r>
      <w:r>
        <w:t>2020</w:t>
      </w:r>
      <w:r w:rsidRPr="008C1893">
        <w:t xml:space="preserve"> </w:t>
      </w:r>
      <w:r w:rsidRPr="008C1893">
        <w:t>laski 7% 1 653 miljoonaan euroon</w:t>
      </w:r>
      <w:r w:rsidRPr="008C1893">
        <w:t xml:space="preserve"> (</w:t>
      </w:r>
      <w:r w:rsidRPr="008C1893">
        <w:t>1 769</w:t>
      </w:r>
      <w:r w:rsidRPr="008C1893">
        <w:t>) edellisvuoteen nähden. Tilaus-lask</w:t>
      </w:r>
      <w:r w:rsidRPr="008C1893">
        <w:t xml:space="preserve">utussuhde oli </w:t>
      </w:r>
      <w:r w:rsidRPr="008C1893">
        <w:t>1,02</w:t>
      </w:r>
      <w:r w:rsidRPr="008C1893">
        <w:t xml:space="preserve"> (</w:t>
      </w:r>
      <w:r w:rsidRPr="008C1893">
        <w:t>0,99</w:t>
      </w:r>
      <w:r w:rsidRPr="008C1893">
        <w:t xml:space="preserve">). Palveluiden tilauskertymä </w:t>
      </w:r>
      <w:r w:rsidRPr="008C1893">
        <w:t>laski 9% 840 miljoonaan euroon</w:t>
      </w:r>
      <w:r w:rsidRPr="008C1893">
        <w:t xml:space="preserve"> (</w:t>
      </w:r>
      <w:r w:rsidRPr="008C1893">
        <w:t>920</w:t>
      </w:r>
      <w:r w:rsidRPr="008C1893">
        <w:t xml:space="preserve">), kun taas laitteiden tilauskertymä </w:t>
      </w:r>
      <w:r w:rsidRPr="008C1893">
        <w:t>laski 4% 813 miljoonaan euroon</w:t>
      </w:r>
      <w:r w:rsidRPr="008C1893">
        <w:t xml:space="preserve"> (</w:t>
      </w:r>
      <w:r w:rsidRPr="008C1893">
        <w:t>849</w:t>
      </w:r>
      <w:r w:rsidRPr="008C1893">
        <w:t xml:space="preserve">). </w:t>
      </w:r>
      <w:r w:rsidR="008744A9">
        <w:t xml:space="preserve">Laitteiden kysyntä jakautui alueittain tasaisesti. Vuoden aikana saatuihin huomattaviin laitetilauksiin sisältyi </w:t>
      </w:r>
      <w:r w:rsidR="008744A9">
        <w:rPr>
          <w:szCs w:val="18"/>
        </w:rPr>
        <w:t xml:space="preserve">Etelä-Amerikkaan toimitettava </w:t>
      </w:r>
      <w:r w:rsidR="008744A9">
        <w:t xml:space="preserve">200 MW:n </w:t>
      </w:r>
      <w:r w:rsidR="008744A9">
        <w:rPr>
          <w:szCs w:val="18"/>
        </w:rPr>
        <w:t>joustavaa perusvoimaa tuottava voimalaitos, joka tukee uusiutuvan energian integrointia</w:t>
      </w:r>
      <w:r w:rsidR="008744A9">
        <w:t xml:space="preserve">. </w:t>
      </w:r>
      <w:r>
        <w:t>Energian v</w:t>
      </w:r>
      <w:r w:rsidR="008744A9">
        <w:t xml:space="preserve">arastointimarkkinoilla kysyntä pysyi hyvällä tasolla. Tilauksiin sisältyivät </w:t>
      </w:r>
      <w:r w:rsidR="008744A9">
        <w:t>Kaakkois</w:t>
      </w:r>
      <w:r w:rsidR="008744A9">
        <w:t xml:space="preserve">-Aasiaan toimitettava 90 MW/90 MWh:n varastointijärjestelmä, joka tarjoaa joustavuutta ja tasapainottaa verkkoa, </w:t>
      </w:r>
      <w:r>
        <w:t>123 MW/185 MWh:n varastointijärjestelmän tilaus suuren uusituvan energian projektin tueksi</w:t>
      </w:r>
      <w:r>
        <w:t xml:space="preserve"> Yhdysvalloissa </w:t>
      </w:r>
      <w:r w:rsidR="008744A9">
        <w:t xml:space="preserve">sekä kaikkien aikojen </w:t>
      </w:r>
      <w:r w:rsidR="008744A9">
        <w:t xml:space="preserve">ensimmäisen </w:t>
      </w:r>
      <w:r w:rsidR="008744A9">
        <w:t>GridSolv</w:t>
      </w:r>
      <w:r w:rsidR="008744A9">
        <w:t xml:space="preserve"> </w:t>
      </w:r>
      <w:r w:rsidR="008744A9">
        <w:t>Quantum</w:t>
      </w:r>
      <w:r w:rsidR="008744A9">
        <w:t xml:space="preserve"> -varastointijärjestelmän toimitus Yhdysvaltoihin. Saatuihin palvelutilauksiin sisältyi viisivuotinen huoltosopimus, joka tukee </w:t>
      </w:r>
      <w:r w:rsidR="008744A9">
        <w:t>Kambodžassa</w:t>
      </w:r>
      <w:r w:rsidR="008744A9">
        <w:t xml:space="preserve"> sijaitsevan 200 MW:n voimalaitoksen käytettävyyttä, suorituskykyä ja luotettavuutta, sekä </w:t>
      </w:r>
      <w:r w:rsidR="008744A9">
        <w:rPr>
          <w:szCs w:val="18"/>
        </w:rPr>
        <w:t>kaasukonversioprojekti Brasiliassa ja siihen liittyvän kymmenen vuoden käyttö- ja kunnossapitosopimuksen uusiminen</w:t>
      </w:r>
      <w:r w:rsidR="008744A9">
        <w:t xml:space="preserve">. </w:t>
      </w:r>
      <w:r w:rsidRPr="008C1893">
        <w:t>V</w:t>
      </w:r>
      <w:r>
        <w:t>uo</w:t>
      </w:r>
      <w:r w:rsidRPr="008C1893">
        <w:t xml:space="preserve">den lopun tilauskanta </w:t>
      </w:r>
      <w:r w:rsidRPr="008C1893">
        <w:t>laski 9% 1 830 miljoonaan euroon</w:t>
      </w:r>
      <w:r w:rsidRPr="008C1893">
        <w:t xml:space="preserve"> (</w:t>
      </w:r>
      <w:r w:rsidRPr="008C1893">
        <w:t>2 014</w:t>
      </w:r>
      <w:r w:rsidRPr="008C1893">
        <w:t>).</w:t>
      </w:r>
    </w:p>
    <w:p w:rsidR="00F21934" w:rsidRPr="008C1893" w:rsidP="008C1893" w14:textId="51DA8ED2">
      <w:pPr>
        <w:pStyle w:val="WNormal"/>
      </w:pPr>
      <w:r w:rsidRPr="008C1893">
        <w:t xml:space="preserve">Liikevaihto </w:t>
      </w:r>
      <w:r w:rsidRPr="008C1893">
        <w:t>laski 9% 1 620 miljoonaan euroon</w:t>
      </w:r>
      <w:r w:rsidRPr="008C1893">
        <w:t xml:space="preserve"> (</w:t>
      </w:r>
      <w:r w:rsidRPr="008C1893">
        <w:t>1 779</w:t>
      </w:r>
      <w:r w:rsidRPr="008C1893">
        <w:t>) ed</w:t>
      </w:r>
      <w:r w:rsidRPr="008C1893">
        <w:t xml:space="preserve">ellisvuoteen nähden. </w:t>
      </w:r>
      <w:r w:rsidRPr="009958A1">
        <w:t xml:space="preserve">Palveluiden liikevaihto </w:t>
      </w:r>
      <w:r w:rsidRPr="009958A1">
        <w:t>laski 2% 782 miljoonaan euroon</w:t>
      </w:r>
      <w:r w:rsidRPr="009958A1">
        <w:t xml:space="preserve"> (</w:t>
      </w:r>
      <w:r w:rsidRPr="009958A1">
        <w:t>802</w:t>
      </w:r>
      <w:r w:rsidRPr="009958A1">
        <w:t xml:space="preserve">), kun taas laitteiden liikevaihto </w:t>
      </w:r>
      <w:r w:rsidRPr="009958A1">
        <w:t>laski 14% 838 miljoonaan euroon</w:t>
      </w:r>
      <w:r w:rsidRPr="009958A1">
        <w:t xml:space="preserve"> (</w:t>
      </w:r>
      <w:r w:rsidRPr="009958A1">
        <w:t>977</w:t>
      </w:r>
      <w:r w:rsidRPr="009958A1">
        <w:t xml:space="preserve">). </w:t>
      </w:r>
      <w:r w:rsidRPr="008C1893">
        <w:t xml:space="preserve">Vertailukelpoinen liiketulos oli </w:t>
      </w:r>
      <w:r w:rsidRPr="008C1893">
        <w:t>101</w:t>
      </w:r>
      <w:r w:rsidRPr="008C1893">
        <w:t xml:space="preserve"> miljoonaa euroa (</w:t>
      </w:r>
      <w:r w:rsidRPr="008C1893">
        <w:t>155</w:t>
      </w:r>
      <w:r w:rsidRPr="009958A1">
        <w:t xml:space="preserve">) eli </w:t>
      </w:r>
      <w:r w:rsidRPr="009958A1">
        <w:t>6,3</w:t>
      </w:r>
      <w:r w:rsidRPr="009958A1">
        <w:t>% liikevaihdosta (</w:t>
      </w:r>
      <w:r w:rsidRPr="009958A1">
        <w:t>8,7</w:t>
      </w:r>
      <w:r w:rsidRPr="008C1893">
        <w:t xml:space="preserve">). </w:t>
      </w:r>
      <w:r>
        <w:t>T</w:t>
      </w:r>
      <w:r>
        <w:t>ulosta rasittivat koronaviruksen vaikutukset, kuten toimitusten viivästyminen, kapasiteetin alhaisempi käyttöaste ja kasvaneet projektien toteutuskustannukset, sekä niiden projektien toimitukset, joiden ilmoitettiin vuonna 2019 kärsivän kustannusylityksistä</w:t>
      </w:r>
      <w:r>
        <w:rPr>
          <w:color w:val="FF0000"/>
        </w:rPr>
        <w:t>.</w:t>
      </w:r>
    </w:p>
    <w:p w:rsidR="00F66F00" w:rsidRPr="007B63AA" w:rsidP="00C82C81" w14:textId="4380FFC4">
      <w:pPr>
        <w:pStyle w:val="WHeading3"/>
      </w:pPr>
      <w:bookmarkStart w:id="20" w:name="RG_MARKER_5067"/>
      <w:r w:rsidRPr="007B63AA">
        <w:t>Muut liiketoiminnot</w:t>
      </w:r>
      <w:bookmarkEnd w:id="20"/>
    </w:p>
    <w:p w:rsidR="00F66F00" w:rsidRPr="007B63AA" w:rsidP="00C82C81" w14:textId="21FB2457">
      <w:pPr>
        <w:pStyle w:val="WHeading4"/>
      </w:pPr>
      <w:r w:rsidRPr="007B63AA">
        <w:t>Wärtsilä Portfolio B</w:t>
      </w:r>
      <w:r>
        <w:t>usiness</w:t>
      </w:r>
    </w:p>
    <w:p w:rsidR="007B63AA" w:rsidRPr="007B63AA" w:rsidP="007B63AA" w14:paraId="51F15573" w14:textId="4B6C04FE">
      <w:pPr>
        <w:pStyle w:val="WNormal"/>
      </w:pPr>
      <w:r>
        <w:t>Portfolio Businessin t</w:t>
      </w:r>
      <w:r w:rsidRPr="007B63AA">
        <w:t xml:space="preserve">ilauskertymä </w:t>
      </w:r>
      <w:r>
        <w:t xml:space="preserve">vuonna </w:t>
      </w:r>
      <w:r>
        <w:t>2020</w:t>
      </w:r>
      <w:r>
        <w:t xml:space="preserve"> </w:t>
      </w:r>
      <w:r w:rsidRPr="007B63AA">
        <w:t>laski 32% 168 miljoonaan euroon</w:t>
      </w:r>
      <w:r w:rsidRPr="007B63AA">
        <w:t xml:space="preserve"> (</w:t>
      </w:r>
      <w:r w:rsidRPr="007B63AA">
        <w:t>248</w:t>
      </w:r>
      <w:r w:rsidRPr="007B63AA">
        <w:t xml:space="preserve">) edellisvuoteen nähden. </w:t>
      </w:r>
      <w:r>
        <w:rPr>
          <w:szCs w:val="18"/>
        </w:rPr>
        <w:t xml:space="preserve">Kysyntä oli suurinta American Hydro -liiketoimintayksikössä, jonka vuoden aikana saamiin tilauksiin sisältyi peruskorjauspalvelujen suorittaminen sekä kahden yksikön päivittäminen ja kunnostaminen </w:t>
      </w:r>
      <w:r>
        <w:rPr>
          <w:szCs w:val="18"/>
        </w:rPr>
        <w:t>Keokuk</w:t>
      </w:r>
      <w:r>
        <w:rPr>
          <w:szCs w:val="18"/>
        </w:rPr>
        <w:t>-vesivoimalassa Iowassa, Yhdysvalloissa</w:t>
      </w:r>
      <w:r>
        <w:t xml:space="preserve">. </w:t>
      </w:r>
      <w:r>
        <w:t>Water</w:t>
      </w:r>
      <w:r>
        <w:t xml:space="preserve"> &amp; Waste ja Entertainment Systems -liiketoimintayksiköt jatkoivat tiivistä yhteistyötä italialaisen laivanrakentajan </w:t>
      </w:r>
      <w:r>
        <w:t>Fincantierin</w:t>
      </w:r>
      <w:r>
        <w:t xml:space="preserve"> kanssa useiden alusten parissa, mikä johti tilauksiin toimittaa täydelliset jätteenkäsittelyjärjestelmät ja makean veden generaattorit kahteen alukseen sekä viihdejärjestelmät kahdelle uudelle alussarjalle, joihin kuuluu kahdeksan alusta.</w:t>
      </w:r>
      <w:r>
        <w:t xml:space="preserve"> </w:t>
      </w:r>
      <w:r w:rsidRPr="007B63AA">
        <w:t>V</w:t>
      </w:r>
      <w:r>
        <w:t>uo</w:t>
      </w:r>
      <w:r w:rsidRPr="007B63AA">
        <w:t xml:space="preserve">den lopun tilauskanta </w:t>
      </w:r>
      <w:r w:rsidRPr="007B63AA">
        <w:t>laski 24% 257 miljoonaan euroon</w:t>
      </w:r>
      <w:r w:rsidRPr="007B63AA">
        <w:t xml:space="preserve"> (</w:t>
      </w:r>
      <w:r w:rsidRPr="007B63AA">
        <w:t>338</w:t>
      </w:r>
      <w:r w:rsidRPr="007B63AA">
        <w:t>).</w:t>
      </w:r>
    </w:p>
    <w:p w:rsidR="00F21934" w:rsidRPr="007B63AA" w:rsidP="007B63AA" w14:textId="1BBFEADD">
      <w:pPr>
        <w:pStyle w:val="WNormal"/>
      </w:pPr>
      <w:r w:rsidRPr="007B63AA">
        <w:t xml:space="preserve">Liikevaihto </w:t>
      </w:r>
      <w:r w:rsidRPr="007B63AA">
        <w:t>laski 24% 181 miljoonaan euroon</w:t>
      </w:r>
      <w:r w:rsidRPr="007B63AA">
        <w:t xml:space="preserve"> (</w:t>
      </w:r>
      <w:r w:rsidRPr="007B63AA">
        <w:t>236</w:t>
      </w:r>
      <w:r w:rsidRPr="007B63AA">
        <w:t xml:space="preserve">) edellisvuoteen nähden. </w:t>
      </w:r>
      <w:r>
        <w:t xml:space="preserve">Koronavirus heikensi kysyntää erityisesti </w:t>
      </w:r>
      <w:r>
        <w:t>Water</w:t>
      </w:r>
      <w:r>
        <w:t xml:space="preserve"> &amp; Waste ja Entertainment Systems -</w:t>
      </w:r>
      <w:r>
        <w:rPr>
          <w:szCs w:val="18"/>
        </w:rPr>
        <w:t>liiketoimintayksiköissä</w:t>
      </w:r>
      <w:r>
        <w:t xml:space="preserve"> varsinkin risteilyalussegmentillä. </w:t>
      </w:r>
      <w:r w:rsidRPr="007B63AA">
        <w:t xml:space="preserve">Vertailukelpoinen liiketulos oli </w:t>
      </w:r>
      <w:r w:rsidRPr="007B63AA">
        <w:t>-6</w:t>
      </w:r>
      <w:r w:rsidRPr="007B63AA">
        <w:t xml:space="preserve"> miljoonaa euroa (</w:t>
      </w:r>
      <w:r w:rsidRPr="007B63AA">
        <w:t>0</w:t>
      </w:r>
      <w:r w:rsidRPr="00DD5E0F">
        <w:t xml:space="preserve">) eli </w:t>
      </w:r>
      <w:r w:rsidRPr="00DD5E0F">
        <w:t>-3,1</w:t>
      </w:r>
      <w:r w:rsidRPr="00DD5E0F">
        <w:t>% liikevaihdosta (</w:t>
      </w:r>
      <w:r w:rsidRPr="00DD5E0F">
        <w:t>0,1</w:t>
      </w:r>
      <w:r w:rsidRPr="007B63AA">
        <w:t>).</w:t>
      </w:r>
      <w:r>
        <w:t xml:space="preserve"> </w:t>
      </w:r>
      <w:r>
        <w:rPr>
          <w:szCs w:val="18"/>
        </w:rPr>
        <w:t xml:space="preserve">Vuoden aikana kirjattiin vertailukelpoisuuteen vaikuttavia eriä yhteensä 24 miljoonaa euroa johtuen suurelta osin Wärtsilä JOVYATLAS </w:t>
      </w:r>
      <w:r>
        <w:rPr>
          <w:szCs w:val="18"/>
        </w:rPr>
        <w:t>GmbH:n</w:t>
      </w:r>
      <w:r>
        <w:rPr>
          <w:szCs w:val="18"/>
        </w:rPr>
        <w:t xml:space="preserve"> ja Wärtsilä </w:t>
      </w:r>
      <w:r>
        <w:rPr>
          <w:szCs w:val="18"/>
        </w:rPr>
        <w:t>Valves</w:t>
      </w:r>
      <w:r>
        <w:rPr>
          <w:szCs w:val="18"/>
        </w:rPr>
        <w:t xml:space="preserve"> Ltd:n yritysmyynneistä.</w:t>
      </w:r>
    </w:p>
    <w:p w:rsidR="00F82D67" w:rsidRPr="00016E8D" w:rsidP="00384222">
      <w:pPr>
        <w:pStyle w:val="WHeadingException3"/>
        <w:rPr>
          <w:rFonts w:ascii="Arial" w:eastAsia="Times New Roman" w:hAnsi="Arial"/>
        </w:rPr>
      </w:pPr>
      <w:bookmarkStart w:id="21" w:name="RG_MARKER_5145"/>
      <w:r w:rsidRPr="00016E8D">
        <w:t>Yritysmyynnit</w:t>
      </w:r>
      <w:bookmarkEnd w:id="21"/>
    </w:p>
    <w:p w:rsidR="00F82D67" w:rsidRPr="004B7A95" w:rsidP="004B7A95">
      <w:pPr>
        <w:pStyle w:val="WNormal"/>
        <w:rPr>
          <w:lang w:val="fi-FI"/>
        </w:rPr>
      </w:pPr>
      <w:r w:rsidRPr="00384222">
        <w:rPr>
          <w:lang w:val="fi-FI"/>
        </w:rPr>
        <w:t>Syyskuussa Wärtsilä ilmoitti myyvänsä 100% omistamansa Wärtsilä JOVYATLAS GmbH:n osakkeista saksalaiselle teollisuusyhtiölle Jacob Waitz Industrie GmbH:lle.</w:t>
      </w:r>
      <w:r w:rsidRPr="00384222" w:rsidR="00016E8D">
        <w:rPr>
          <w:lang w:val="fi-FI"/>
        </w:rPr>
        <w:t xml:space="preserve"> Wärtsilä JOVYATLAS tarjoaa </w:t>
      </w:r>
      <w:r w:rsidRPr="00384222">
        <w:rPr>
          <w:lang w:val="fi-FI"/>
        </w:rPr>
        <w:t>keskeytymättömän virransyötön järjestelmiä</w:t>
      </w:r>
      <w:r w:rsidRPr="00384222" w:rsidR="00016E8D">
        <w:rPr>
          <w:lang w:val="fi-FI"/>
        </w:rPr>
        <w:t xml:space="preserve">, tasasuuntaajia, muuntajia, taajuusmuuttajia ja vastuksia sekä niihin liittyviä palveluita. Yrityksestä tuli osa Wärtsilää L-3 Communications MSI:n hankinnan yhteydessä vuonna 2015. Yritys sijaitsee Saksan Jemgumissa, ja sillä on tällä hetkellä noin 125 työntekijää. </w:t>
      </w:r>
      <w:r w:rsidRPr="004B7A95" w:rsidR="00016E8D">
        <w:rPr>
          <w:lang w:val="fi-FI"/>
        </w:rPr>
        <w:t>Sen liikevaihto oli 20 miljoonaa euroa vuonna 2019.</w:t>
      </w:r>
      <w:r w:rsidRPr="00384222" w:rsidR="004B7A95">
        <w:rPr>
          <w:lang w:val="fi-FI"/>
        </w:rPr>
        <w:t xml:space="preserve"> </w:t>
      </w:r>
      <w:r w:rsidRPr="004B7A95" w:rsidR="004B7A95">
        <w:rPr>
          <w:lang w:val="fi-FI"/>
        </w:rPr>
        <w:t>Yritysmyynti edistää Wärtsilän tavoitetta vahv</w:t>
      </w:r>
      <w:r w:rsidRPr="00384222" w:rsidR="004B7A95">
        <w:rPr>
          <w:lang w:val="fi-FI"/>
        </w:rPr>
        <w:t>istaa</w:t>
      </w:r>
      <w:r w:rsidRPr="004B7A95" w:rsidR="004B7A95">
        <w:rPr>
          <w:lang w:val="fi-FI"/>
        </w:rPr>
        <w:t xml:space="preserve"> ja yksinkertais</w:t>
      </w:r>
      <w:r w:rsidRPr="00384222" w:rsidR="004B7A95">
        <w:rPr>
          <w:lang w:val="fi-FI"/>
        </w:rPr>
        <w:t>taa</w:t>
      </w:r>
      <w:r w:rsidRPr="004B7A95" w:rsidR="004B7A95">
        <w:rPr>
          <w:lang w:val="fi-FI"/>
        </w:rPr>
        <w:t xml:space="preserve"> ydinliiketoimin</w:t>
      </w:r>
      <w:r w:rsidRPr="00384222" w:rsidR="004B7A95">
        <w:rPr>
          <w:lang w:val="fi-FI"/>
        </w:rPr>
        <w:t>taansa</w:t>
      </w:r>
      <w:r w:rsidRPr="004B7A95" w:rsidR="004B7A95">
        <w:rPr>
          <w:lang w:val="fi-FI"/>
        </w:rPr>
        <w:t>.</w:t>
      </w:r>
    </w:p>
    <w:p w:rsidR="00F82D67" w:rsidRPr="00384222" w:rsidP="004B7A95">
      <w:pPr>
        <w:pStyle w:val="WNormal"/>
        <w:rPr>
          <w:lang w:val="fi-FI"/>
        </w:rPr>
      </w:pPr>
      <w:r w:rsidRPr="00384222">
        <w:rPr>
          <w:lang w:val="fi-FI"/>
        </w:rPr>
        <w:t xml:space="preserve">Lokakuussa Wärtsilä ilmoitti myyvänsä 100% omistamansa Wärtsilä Valves Ltd -yhtiön osakkeista New </w:t>
      </w:r>
      <w:r w:rsidRPr="00384222">
        <w:rPr>
          <w:lang w:val="fi-FI"/>
        </w:rPr>
        <w:t>Yorkissa, Yhdysvalloissa sijaitsevalle Evergreen Capital L.P.:lle. Sen toiminnot sisältävät nikkelialumiinipronssi- ja erikoisteräsventtiilien suunnittelun, kokoonpanon, testauksen, myynnin ja toimituksen merenkulku-, öljy- ja kaasu- sekä energiamarkkinoil</w:t>
      </w:r>
      <w:r w:rsidRPr="00384222">
        <w:rPr>
          <w:lang w:val="fi-FI"/>
        </w:rPr>
        <w:t>le. Lisäksi se tarjoaa venttiilituotesovelluksia FPSO-</w:t>
      </w:r>
      <w:r w:rsidRPr="00384222" w:rsidR="004B7A95">
        <w:rPr>
          <w:lang w:val="fi-FI"/>
        </w:rPr>
        <w:t xml:space="preserve"> ja LNG-</w:t>
      </w:r>
      <w:r w:rsidRPr="00384222">
        <w:rPr>
          <w:lang w:val="fi-FI"/>
        </w:rPr>
        <w:t>aluksille, petrokemian laitoksille, voimantuotantoon, merivoimille,</w:t>
      </w:r>
      <w:r w:rsidRPr="00384222" w:rsidR="004B7A95">
        <w:rPr>
          <w:lang w:val="fi-FI"/>
        </w:rPr>
        <w:t xml:space="preserve"> merenkulkupalveluihin,</w:t>
      </w:r>
      <w:r w:rsidRPr="00384222">
        <w:rPr>
          <w:lang w:val="fi-FI"/>
        </w:rPr>
        <w:t xml:space="preserve"> jätevedenpuhdistamoille ja putkistoihin. Wärtsilä Valves tuli osaksi Wärtsilää Hamworthyn </w:t>
      </w:r>
      <w:r w:rsidRPr="00384222" w:rsidR="00280896">
        <w:rPr>
          <w:lang w:val="fi-FI"/>
        </w:rPr>
        <w:t>hankinnan</w:t>
      </w:r>
      <w:r w:rsidRPr="00384222">
        <w:rPr>
          <w:lang w:val="fi-FI"/>
        </w:rPr>
        <w:t xml:space="preserve"> yht</w:t>
      </w:r>
      <w:r w:rsidRPr="00384222">
        <w:rPr>
          <w:lang w:val="fi-FI"/>
        </w:rPr>
        <w:t>eydessä vuonna 2012. Yhtiö sijaitsee Iso</w:t>
      </w:r>
      <w:r w:rsidRPr="00384222" w:rsidR="00280896">
        <w:rPr>
          <w:lang w:val="fi-FI"/>
        </w:rPr>
        <w:t>n</w:t>
      </w:r>
      <w:r w:rsidRPr="00384222">
        <w:rPr>
          <w:lang w:val="fi-FI"/>
        </w:rPr>
        <w:t>-Britannian Brough</w:t>
      </w:r>
      <w:r w:rsidRPr="00384222" w:rsidR="004B7A95">
        <w:rPr>
          <w:lang w:val="fi-FI"/>
        </w:rPr>
        <w:t>’</w:t>
      </w:r>
      <w:r w:rsidRPr="00384222">
        <w:rPr>
          <w:lang w:val="fi-FI"/>
        </w:rPr>
        <w:t xml:space="preserve">ssa, ja sillä on tällä hetkellä noin 65 työntekijää. </w:t>
      </w:r>
      <w:r w:rsidRPr="00384222" w:rsidR="004B7A95">
        <w:rPr>
          <w:lang w:val="fi-FI"/>
        </w:rPr>
        <w:t>Yhtiön l</w:t>
      </w:r>
      <w:r w:rsidRPr="00384222">
        <w:rPr>
          <w:lang w:val="fi-FI"/>
        </w:rPr>
        <w:t>iikevaihto oli noin 15 miljoonaa euroa vuonna 2019.</w:t>
      </w:r>
    </w:p>
    <w:p w:rsidR="004B7A95" w:rsidRPr="005F55F2" w:rsidP="005F55F2">
      <w:pPr>
        <w:pStyle w:val="WNormal"/>
        <w:rPr>
          <w:lang w:val="fi-FI"/>
        </w:rPr>
      </w:pPr>
      <w:r w:rsidRPr="004A40B9">
        <w:rPr>
          <w:lang w:val="fi-FI"/>
        </w:rPr>
        <w:t>Joulukuussa Wärtsilä sai päätökseen Wärtsilä ELAC Nautik GmbH:n (ELAC Nautik) myynn</w:t>
      </w:r>
      <w:r w:rsidRPr="004A40B9">
        <w:rPr>
          <w:lang w:val="fi-FI"/>
        </w:rPr>
        <w:t>in Ison-Britannian pörssiin listatulle Cohort plc:lle, joka on erikoistunut puolustus-, turvallisuus- ja niihin liittyviin markkinasektoreihin. ELAC Nautikista tuli osa Wärtsilää L-3 Communications MSI:n oston yhteydessä vuonna 2015. Sen painopisteenä mark</w:t>
      </w:r>
      <w:r w:rsidRPr="004A40B9">
        <w:rPr>
          <w:lang w:val="fi-FI"/>
        </w:rPr>
        <w:t xml:space="preserve">kinoilla ovat kaikuluotaimet, mukaan lukien ääniluotaimet, vedenalaiset viestintäjärjestelmät sekä kaikujärjestelmät pienille ja keskikokoisille asevoimien sukellusveneille. Yritys sijaitsee Saksan Kielissä, ja sillä on </w:t>
      </w:r>
      <w:r w:rsidRPr="004A40B9">
        <w:rPr>
          <w:lang w:val="fi-FI"/>
        </w:rPr>
        <w:t>12</w:t>
      </w:r>
      <w:r>
        <w:rPr>
          <w:lang w:val="fi-FI"/>
        </w:rPr>
        <w:t>5</w:t>
      </w:r>
      <w:r w:rsidRPr="004A40B9">
        <w:rPr>
          <w:lang w:val="fi-FI"/>
        </w:rPr>
        <w:t xml:space="preserve"> työntekijää. </w:t>
      </w:r>
      <w:r>
        <w:rPr>
          <w:lang w:val="fi-FI"/>
        </w:rPr>
        <w:t>V</w:t>
      </w:r>
      <w:r w:rsidRPr="005F55F2">
        <w:rPr>
          <w:lang w:val="fi-FI"/>
        </w:rPr>
        <w:t xml:space="preserve">uotuinen </w:t>
      </w:r>
      <w:r w:rsidRPr="005F55F2">
        <w:rPr>
          <w:lang w:val="fi-FI"/>
        </w:rPr>
        <w:t>liikevaihto o</w:t>
      </w:r>
      <w:r>
        <w:rPr>
          <w:lang w:val="fi-FI"/>
        </w:rPr>
        <w:t>li</w:t>
      </w:r>
      <w:r w:rsidRPr="005F55F2">
        <w:rPr>
          <w:lang w:val="fi-FI"/>
        </w:rPr>
        <w:t xml:space="preserve"> noin 2</w:t>
      </w:r>
      <w:r w:rsidRPr="005F55F2" w:rsidR="005F55F2">
        <w:rPr>
          <w:lang w:val="fi-FI"/>
        </w:rPr>
        <w:t>0</w:t>
      </w:r>
      <w:r w:rsidRPr="005F55F2">
        <w:rPr>
          <w:lang w:val="fi-FI"/>
        </w:rPr>
        <w:t xml:space="preserve"> miljoonaa euroa</w:t>
      </w:r>
      <w:r>
        <w:rPr>
          <w:lang w:val="fi-FI"/>
        </w:rPr>
        <w:t xml:space="preserve"> vuonna 2019</w:t>
      </w:r>
      <w:r w:rsidRPr="005F55F2">
        <w:rPr>
          <w:lang w:val="fi-FI"/>
        </w:rPr>
        <w:t>.</w:t>
      </w:r>
    </w:p>
    <w:p w:rsidR="0026591C" w:rsidRPr="00541238" w:rsidP="00EE1D6D" w14:paraId="0C7C62C5" w14:textId="77777777">
      <w:pPr>
        <w:pStyle w:val="WHeadingException1"/>
      </w:pPr>
      <w:bookmarkStart w:id="22" w:name="RG_MARKER_4986"/>
      <w:r w:rsidRPr="00541238">
        <w:t>Riskit ja liiketoiminnan epävarmuustekijät</w:t>
      </w:r>
      <w:bookmarkEnd w:id="22"/>
    </w:p>
    <w:p w:rsidR="006160EA" w:rsidRPr="00541238" w:rsidP="008A28F2" w14:paraId="1AE5D478" w14:textId="77777777">
      <w:pPr>
        <w:pStyle w:val="WNormal"/>
      </w:pPr>
      <w:r w:rsidRPr="00541238">
        <w:t>Koronaviruspandemian (COVID-19) puhkeaminen ja sen leviämisen estämiseksi tehtävät toimenpiteet muodostavat keskeisimmän riskin liiketoiminnalle ja kysyntäympäristölle</w:t>
      </w:r>
      <w:r w:rsidRPr="0097200C">
        <w:t xml:space="preserve"> </w:t>
      </w:r>
      <w:r w:rsidRPr="00541238">
        <w:t>lyhye</w:t>
      </w:r>
      <w:r>
        <w:t>llä</w:t>
      </w:r>
      <w:r w:rsidRPr="00541238">
        <w:t xml:space="preserve"> aikaväli</w:t>
      </w:r>
      <w:r>
        <w:t>llä</w:t>
      </w:r>
      <w:r w:rsidRPr="00541238">
        <w:t>. Vaikutukset ulottuvat maailmanlaajuiseen energiankulutukseen, meriliikenteeseen sekä kuluttajien luottamukseen risteily- ja matkustajalauttaliikennettä kohtaan. Liikkumisrajoitukset vaikuttavat yhä liiketoimintaan, projektien toimitusaikatauluihin ja pal</w:t>
      </w:r>
      <w:r w:rsidRPr="00541238">
        <w:t>velumahdollisuuksiin. Koronavirustartuntojen uusista aalloista aiheutuvat häiriöt maailmanlaajuisiin toimitusketjuihin ovat riski tehtaiden toiminnalle, varaosatoimituksille ja palvelutoiminnalle. Vaikka koronarokotukset ovat alkaneet monissa maissa, pande</w:t>
      </w:r>
      <w:r w:rsidRPr="00541238">
        <w:t>mian kesto ja maakohtais</w:t>
      </w:r>
      <w:r w:rsidRPr="00541238" w:rsidR="00425783">
        <w:t>ten</w:t>
      </w:r>
      <w:r w:rsidRPr="00541238">
        <w:t xml:space="preserve"> rokotusohjelm</w:t>
      </w:r>
      <w:r w:rsidRPr="00541238" w:rsidR="00425783">
        <w:t>ien</w:t>
      </w:r>
      <w:r w:rsidRPr="00541238">
        <w:t xml:space="preserve"> täytäntöön</w:t>
      </w:r>
      <w:r w:rsidRPr="00541238" w:rsidR="00425783">
        <w:t>panon nopeus maailmanlaajuisesti aiheuttavat</w:t>
      </w:r>
      <w:r w:rsidRPr="00541238">
        <w:t xml:space="preserve"> edelleen </w:t>
      </w:r>
      <w:r w:rsidRPr="00541238" w:rsidR="00425783">
        <w:t xml:space="preserve">huomattavaa </w:t>
      </w:r>
      <w:r w:rsidRPr="00541238">
        <w:t>epävarmuutta.</w:t>
      </w:r>
    </w:p>
    <w:p w:rsidR="00425783" w:rsidRPr="00541238" w:rsidP="008A28F2" w14:paraId="7E14BC35" w14:textId="77777777">
      <w:pPr>
        <w:pStyle w:val="WNormal"/>
      </w:pPr>
      <w:r w:rsidRPr="00541238">
        <w:t>Merenkulkumarkkinoilla riski heikon kysynnän pitkittymisestä vaikuttaa varustamoiden ja laivayhtiöiden investointipäätöks</w:t>
      </w:r>
      <w:r w:rsidRPr="00541238">
        <w:t>iin ja pakottaa ne arvioimaan uudelleen sekä uusia että olemassa olevia aluksia koskevia strategioitaan sekä leikkaamaan investoint</w:t>
      </w:r>
      <w:r>
        <w:t>eja</w:t>
      </w:r>
      <w:r w:rsidRPr="00541238">
        <w:t xml:space="preserve"> ja liiketoiminnan kuluja. Vallitsevat markkinaolosuhteet voivat ylläpitää hintapainetta ja kasvattaa tilausten peruutuste</w:t>
      </w:r>
      <w:r w:rsidRPr="00541238">
        <w:t xml:space="preserve">n </w:t>
      </w:r>
      <w:r w:rsidRPr="00541238" w:rsidR="000125B0">
        <w:t xml:space="preserve">tai toimitusten lykkäysten </w:t>
      </w:r>
      <w:r w:rsidRPr="00541238">
        <w:t xml:space="preserve">riskiä. Ylimääräinen kapasiteetti voi edelleen kannustaa telakoita, varustamoita ja laivayhtiöitä yhdistymään joillakin segmenteillä, mikä puolestaan saattaa johtaa pienempään laite- ja palvelumyyntiin, kun suhteet asiakkaiden </w:t>
      </w:r>
      <w:r w:rsidRPr="00541238">
        <w:t xml:space="preserve">kanssa muuttuvat. </w:t>
      </w:r>
      <w:r w:rsidRPr="00541238" w:rsidR="000125B0">
        <w:t>Liikennöinti</w:t>
      </w:r>
      <w:r w:rsidRPr="00541238">
        <w:t>kieltojen jatkuminen</w:t>
      </w:r>
      <w:r w:rsidRPr="00541238" w:rsidR="000125B0">
        <w:t>, ihmisten rajallinen kyky ja halu matkustaa</w:t>
      </w:r>
      <w:r w:rsidRPr="00541238">
        <w:t xml:space="preserve"> </w:t>
      </w:r>
      <w:r w:rsidRPr="00541238" w:rsidR="000125B0">
        <w:t xml:space="preserve">sekä </w:t>
      </w:r>
      <w:r w:rsidRPr="00541238">
        <w:t>koronaviruksen tartuntamäär</w:t>
      </w:r>
      <w:r w:rsidRPr="00541238" w:rsidR="000125B0">
        <w:t>ien kasvu</w:t>
      </w:r>
      <w:r w:rsidRPr="00541238">
        <w:t xml:space="preserve"> ovat riski risteily-</w:t>
      </w:r>
      <w:r w:rsidRPr="00541238" w:rsidR="000125B0">
        <w:t xml:space="preserve"> ja matkustajalauttamarkkinoiden</w:t>
      </w:r>
      <w:r w:rsidRPr="00541238">
        <w:t xml:space="preserve"> toipumiselle. Offshore-teollisuudessa raakaöljyn hintavaihtelu pak</w:t>
      </w:r>
      <w:r w:rsidRPr="00541238">
        <w:t>ottaa öljy-yhtiöt vähentämään menojaan, öljynetsintätoimintaa ja operatiivisia kustannuksiaan, mikä johtaa yhä useamman porausyksikön ja tukialuksen poistamiseen käytöstä. Vähärikkisen ja rikkipitoisen polttoaineen välisen keskimääräisen hintaeron arvioida</w:t>
      </w:r>
      <w:r w:rsidRPr="00541238">
        <w:t xml:space="preserve">an </w:t>
      </w:r>
      <w:r w:rsidRPr="00541238" w:rsidR="000125B0">
        <w:t>pysyvän</w:t>
      </w:r>
      <w:r w:rsidRPr="00541238">
        <w:t xml:space="preserve"> </w:t>
      </w:r>
      <w:r w:rsidRPr="00541238" w:rsidR="000125B0">
        <w:t>lähitulevaisuudessa</w:t>
      </w:r>
      <w:r w:rsidRPr="00541238" w:rsidR="00F609F9">
        <w:t xml:space="preserve"> pienenä</w:t>
      </w:r>
      <w:r w:rsidRPr="00541238">
        <w:t xml:space="preserve">, mikä vähentää sekä olemassa oleviin että uusiin aluksiin tehtäviä rikkipesuri-investointeja. Samaan aikaan öljyn alhainen hinta kasvattaa olemassa olevien polttoaineiden ja </w:t>
      </w:r>
      <w:r w:rsidRPr="00541238" w:rsidR="000125B0">
        <w:t>ympäristömyötäisten</w:t>
      </w:r>
      <w:r w:rsidRPr="00541238">
        <w:t xml:space="preserve"> vaihtoehtojen välistä h</w:t>
      </w:r>
      <w:r w:rsidRPr="00541238">
        <w:t xml:space="preserve">intaeroa. Tämä yhdistettynä varustamoiden </w:t>
      </w:r>
      <w:r w:rsidRPr="00541238" w:rsidR="000125B0">
        <w:t xml:space="preserve">kohtaamiin markkinahaasteisiin korostaa sääntely-ympäristön selkeän ja </w:t>
      </w:r>
      <w:r w:rsidRPr="00521ED2" w:rsidR="000125B0">
        <w:t>ennakoitavan</w:t>
      </w:r>
      <w:r w:rsidRPr="00541238" w:rsidR="000125B0">
        <w:t xml:space="preserve"> kehityksen tärkeyttä merenkulun hiilestä irtautumisen perusedellytyksenä</w:t>
      </w:r>
      <w:r w:rsidRPr="00541238">
        <w:t xml:space="preserve">. </w:t>
      </w:r>
    </w:p>
    <w:p w:rsidR="00541238" w:rsidRPr="00541238" w:rsidP="008A28F2" w14:paraId="7C853B6E" w14:textId="77777777">
      <w:pPr>
        <w:pStyle w:val="WNormal"/>
      </w:pPr>
      <w:r w:rsidRPr="00541238">
        <w:t xml:space="preserve">Energiamarkkinoilla </w:t>
      </w:r>
      <w:r w:rsidRPr="00521ED2">
        <w:t>taloudellisen toiminnan hidastumine</w:t>
      </w:r>
      <w:r w:rsidRPr="00521ED2">
        <w:t>n</w:t>
      </w:r>
      <w:r w:rsidRPr="00541238">
        <w:t>, valuuttakurssien heilahtelut ja mahdolliset rahoitusta koskevat rajoitteet todennäköisesti lykkäävät uutta voimantuotantokapasiteettia koskevia sijoituspäätöksiä. Energiamurros voi väliaikaisesti hidastua, kun huomio keskittyy viruksen leviämisen hillit</w:t>
      </w:r>
      <w:r w:rsidRPr="00541238">
        <w:t>semiseen ja sen vaikutusten lieventämiseen. Jo sovittuihin ja ehdotettuihin elvytyspaketteihin, jotka tähtäävät uusiutuviin energianlähteisiin tehtävien investointien nopeuttamiseen, sisältyy edelleen epävarmuutta rahoituksen kohdistamisen periaatteista. E</w:t>
      </w:r>
      <w:r w:rsidRPr="00541238">
        <w:t>lvytystoimenpiteiden toteutuessa joustavien voimajärjestelmien tarve kuitenkin korostuu. Ilmastopolitiikan ja sääntelyn muutokset aiheuttavat epävarmuutta markkinoilla, koska ne voivat vaikuttaa asiakkaiden teknologiavalintoihin. Myös geopoliittiset jännit</w:t>
      </w:r>
      <w:r w:rsidRPr="00541238">
        <w:t xml:space="preserve">teet ja kauppapakotteet luovat merkittäviä haasteita kysyntäympäristölle. Vallitsevasta kilpailuympäristöstä johtuva hintapaine on edelleen riski. </w:t>
      </w:r>
    </w:p>
    <w:p w:rsidR="008D6487" w:rsidRPr="00541238" w:rsidP="008A28F2" w14:paraId="1E45E6AC" w14:textId="77777777">
      <w:pPr>
        <w:pStyle w:val="WNormal"/>
      </w:pPr>
      <w:r w:rsidRPr="00541238">
        <w:t xml:space="preserve">Konserni on vastaajana eräissä oikeusjutuissa, jotka liittyvät </w:t>
      </w:r>
      <w:r w:rsidRPr="00541238" w:rsidR="00303AEE">
        <w:t>sen</w:t>
      </w:r>
      <w:r w:rsidRPr="00541238">
        <w:t xml:space="preserve"> normaaliin liiketoimintaan. Oikeusjutut k</w:t>
      </w:r>
      <w:r w:rsidRPr="00541238">
        <w:t>oskevat muun muassa sopimus- ja muita vastuita, työsuhdeasioita, omaisuusvahinkoja sekä sääntelyasioita. Konserni saa ajoittain erisuuruisia ja vaihtelevassa määrin perusteltuja korvausvaatimuksia. Eräs saaduista vaatimuksista on erityisen suuri. Konsernin</w:t>
      </w:r>
      <w:r w:rsidRPr="00541238">
        <w:t xml:space="preserve"> periaatteisiin kuuluu varausten tekeminen vaatimusten sekä oikeudenkäyntien ja välimiesmenettelyjen varalta silloin, kun epäsuotuisa lopputulos on todennäköinen ja kulujen suuruus voidaan kohtuullisella varmuudella arvioida. </w:t>
      </w:r>
    </w:p>
    <w:p w:rsidR="00B4426B" w:rsidRPr="00541238" w:rsidP="008A28F2" w14:paraId="7AAF03C3" w14:textId="77777777">
      <w:pPr>
        <w:pStyle w:val="WNormal"/>
      </w:pPr>
      <w:r w:rsidRPr="00541238">
        <w:t>Vuosikertomuksen Riskit ja ri</w:t>
      </w:r>
      <w:r w:rsidRPr="00541238">
        <w:t>skienhallinta -osio sisältää perusteellisemman kuvauksen Wärtsilän riskeistä ja riskienhallinnasta.</w:t>
      </w:r>
    </w:p>
    <w:p w:rsidR="00D54D56" w:rsidP="00FA4BEC" w14:paraId="66B3890F" w14:textId="4C15D7D8">
      <w:pPr>
        <w:pStyle w:val="WHeading3"/>
      </w:pPr>
      <w:r>
        <mc:AlternateContent>
          <mc:Choice Requires="wps">
            <w:drawing>
              <wp:anchor distT="45720" distB="45720" distL="114300" distR="114300" simplePos="0" relativeHeight="251671552" behindDoc="0" locked="0" layoutInCell="1" allowOverlap="1">
                <wp:simplePos x="0" y="0"/>
                <wp:positionH relativeFrom="rightMargin">
                  <wp:posOffset>-6543040</wp:posOffset>
                </wp:positionH>
                <wp:positionV relativeFrom="topMargin">
                  <wp:posOffset>1104900</wp:posOffset>
                </wp:positionV>
                <wp:extent cx="6933565" cy="2244725"/>
                <wp:effectExtent l="0" t="0" r="635" b="3175"/>
                <wp:wrapSquare wrapText="bothSides"/>
                <wp:docPr id="2099226128" name="Text Box 21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933565" cy="2244725"/>
                        </a:xfrm>
                        <a:prstGeom prst="rect">
                          <a:avLst/>
                        </a:prstGeom>
                        <a:solidFill>
                          <a:srgbClr val="FFFFFF"/>
                        </a:solidFill>
                        <a:ln w="9525">
                          <a:noFill/>
                          <a:miter lim="800000"/>
                          <a:headEnd/>
                          <a:tailEnd/>
                        </a:ln>
                      </wps:spPr>
                      <wps:txbx>
                        <w:txbxContent>
                          <w:p w:rsidR="00542C05" w:rsidP="00D245ED" w14:textId="77777777">
                            <w:pPr>
                              <w:pStyle w:val="Subtitle"/>
                            </w:pPr>
                            <w:r>
                              <w:t xml:space="preserve">Osakkeet </w:t>
                            </w:r>
                            <w:r w:rsidRPr="00D245ED">
                              <w:t>Nasdaq</w:t>
                            </w:r>
                            <w:r>
                              <w:t xml:space="preserve"> Helsingissä</w:t>
                            </w:r>
                          </w:p>
                          <w:tbl>
                            <w:tblPr>
                              <w:tblStyle w:val="TableNormal"/>
                              <w:tblCaption w:val="Table_Shares_FI"/>
                              <w:tblW w:w="10110" w:type="dxa"/>
                              <w:tblLayout w:type="fixed"/>
                              <w:tblLook w:val="0600"/>
                            </w:tblPr>
                            <w:tblGrid>
                              <w:gridCol w:w="3870"/>
                              <w:gridCol w:w="690"/>
                              <w:gridCol w:w="690"/>
                              <w:gridCol w:w="2430"/>
                              <w:gridCol w:w="2430"/>
                            </w:tblGrid>
                            <w:tr>
                              <w:tblPrEx>
                                <w:tblW w:w="10110" w:type="dxa"/>
                                <w:tblLayout w:type="fixed"/>
                                <w:tblLook w:val="0600"/>
                              </w:tblPrEx>
                              <w:trPr>
                                <w:trHeight w:hRule="exact" w:val="253"/>
                              </w:trPr>
                              <w:tc>
                                <w:tcPr>
                                  <w:tcW w:w="3870"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c>
                                <w:tcPr>
                                  <w:tcW w:w="690"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690"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2430"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Osake- ja äänimäärä</w:t>
                                  </w:r>
                                </w:p>
                              </w:tc>
                              <w:tc>
                                <w:tcPr>
                                  <w:tcW w:w="2430"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Osakevaihto 1-12/2020</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WRT1V</w:t>
                                  </w: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591 723 390</w:t>
                                  </w: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635 449 872</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1.1.-31.12.2020</w:t>
                                  </w:r>
                                </w:p>
                              </w:tc>
                              <w:tc>
                                <w:tcPr>
                                  <w:tcW w:w="69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Ylin</w:t>
                                  </w:r>
                                </w:p>
                              </w:tc>
                              <w:tc>
                                <w:tcPr>
                                  <w:tcW w:w="69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Alin</w:t>
                                  </w: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Keskikurssi*</w:t>
                                  </w: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Päätöskurssi</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3"/>
                              </w:trPr>
                              <w:tc>
                                <w:tcPr>
                                  <w:tcW w:w="3870" w:type="dxa"/>
                                  <w:tcBorders>
                                    <w:top w:val="single" w:sz="8" w:space="0" w:color="000000"/>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Osakekurssi</w:t>
                                  </w:r>
                                </w:p>
                              </w:tc>
                              <w:tc>
                                <w:tcPr>
                                  <w:tcW w:w="69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12,00</w:t>
                                  </w:r>
                                </w:p>
                              </w:tc>
                              <w:tc>
                                <w:tcPr>
                                  <w:tcW w:w="69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5,01</w:t>
                                  </w: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7,66</w:t>
                                  </w: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8,15</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3"/>
                              </w:trPr>
                              <w:tc>
                                <w:tcPr>
                                  <w:tcW w:w="3870" w:type="dxa"/>
                                  <w:tcBorders>
                                    <w:top w:val="single" w:sz="4" w:space="0" w:color="004B6B"/>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*Kaupankäyntimäärillä painotettu keskikurssi</w:t>
                                  </w:r>
                                </w:p>
                              </w:tc>
                              <w:tc>
                                <w:tcPr>
                                  <w:tcW w:w="69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3"/>
                              </w:trPr>
                              <w:tc>
                                <w:tcPr>
                                  <w:tcW w:w="387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Markkina-arvo</w:t>
                                  </w:r>
                                </w:p>
                              </w:tc>
                              <w:tc>
                                <w:tcPr>
                                  <w:tcW w:w="69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69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31.12.2019</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MEUR</w:t>
                                  </w: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4 823</w:t>
                                  </w: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5 828</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Ulkomaalaisomistus</w:t>
                                  </w:r>
                                </w:p>
                              </w:tc>
                              <w:tc>
                                <w:tcPr>
                                  <w:tcW w:w="69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69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31.12.2019</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t>
                                  </w: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8" w:space="0" w:color="000000"/>
                                    <w:left w:val="nil"/>
                                    <w:bottom w:val="single" w:sz="4"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50,7</w:t>
                                  </w:r>
                                </w:p>
                              </w:tc>
                              <w:tc>
                                <w:tcPr>
                                  <w:tcW w:w="2430" w:type="dxa"/>
                                  <w:tcBorders>
                                    <w:top w:val="single" w:sz="8" w:space="0" w:color="000000"/>
                                    <w:left w:val="nil"/>
                                    <w:bottom w:val="single" w:sz="4"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52,8</w:t>
                                  </w:r>
                                </w:p>
                              </w:tc>
                            </w:tr>
                          </w:tbl>
                          <w:p w:rsidR="00542C05" w:rsidRPr="009F48CB" w:rsidP="009F48CB" w14:textId="77777777">
                            <w:pPr>
                              <w:rPr>
                                <w:lang w:val="fi-FI"/>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217" o:spid="_x0000_s1029" type="#_x0000_t202" style="width:545.95pt;height:176.75pt;margin-top:87pt;margin-left:-515.2pt;mso-height-percent:0;mso-height-relative:margin;mso-position-horizontal-relative:right-margin-area;mso-position-vertical-relative:top-margin-area;mso-width-percent:0;mso-width-relative:margin;mso-wrap-distance-bottom:3.6pt;mso-wrap-distance-left:9pt;mso-wrap-distance-right:9pt;mso-wrap-distance-top:3.6pt;position:absolute;v-text-anchor:top;z-index:251670528" fillcolor="white" stroked="f" strokeweight="0.75pt">
                <v:textbox>
                  <w:txbxContent>
                    <w:p w:rsidR="00542C05" w:rsidP="00D245ED" w14:textId="77777777">
                      <w:pPr>
                        <w:pStyle w:val="Subtitle"/>
                      </w:pPr>
                      <w:r>
                        <w:t xml:space="preserve">Osakkeet </w:t>
                      </w:r>
                      <w:r w:rsidRPr="00D245ED">
                        <w:t>Nasdaq</w:t>
                      </w:r>
                      <w:r>
                        <w:t xml:space="preserve"> Helsingissä</w:t>
                      </w:r>
                    </w:p>
                    <w:tbl>
                      <w:tblPr>
                        <w:tblStyle w:val="TableNormal"/>
                        <w:tblCaption w:val="Table_Shares_FI"/>
                        <w:tblW w:w="10110" w:type="dxa"/>
                        <w:tblLayout w:type="fixed"/>
                        <w:tblLook w:val="0600"/>
                      </w:tblPr>
                      <w:tblGrid>
                        <w:gridCol w:w="3870"/>
                        <w:gridCol w:w="690"/>
                        <w:gridCol w:w="690"/>
                        <w:gridCol w:w="2430"/>
                        <w:gridCol w:w="2430"/>
                      </w:tblGrid>
                      <w:tr>
                        <w:tblPrEx>
                          <w:tblW w:w="10110" w:type="dxa"/>
                          <w:tblLayout w:type="fixed"/>
                          <w:tblLook w:val="0600"/>
                        </w:tblPrEx>
                        <w:trPr>
                          <w:trHeight w:hRule="exact" w:val="253"/>
                        </w:trPr>
                        <w:tc>
                          <w:tcPr>
                            <w:tcW w:w="3870"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c>
                          <w:tcPr>
                            <w:tcW w:w="690"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690" w:type="dxa"/>
                            <w:tcBorders>
                              <w:top w:val="nil"/>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2430"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Osake- ja äänimäärä</w:t>
                            </w:r>
                          </w:p>
                        </w:tc>
                        <w:tc>
                          <w:tcPr>
                            <w:tcW w:w="2430"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Osakevaihto 1-12/2020</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WRT1V</w:t>
                            </w: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591 723 390</w:t>
                            </w: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635 449 872</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1.1.-31.12.2020</w:t>
                            </w:r>
                          </w:p>
                        </w:tc>
                        <w:tc>
                          <w:tcPr>
                            <w:tcW w:w="69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Ylin</w:t>
                            </w:r>
                          </w:p>
                        </w:tc>
                        <w:tc>
                          <w:tcPr>
                            <w:tcW w:w="69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Alin</w:t>
                            </w: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Keskikurssi*</w:t>
                            </w: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Päätöskurssi</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3"/>
                        </w:trPr>
                        <w:tc>
                          <w:tcPr>
                            <w:tcW w:w="3870" w:type="dxa"/>
                            <w:tcBorders>
                              <w:top w:val="single" w:sz="8" w:space="0" w:color="000000"/>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Osakekurssi</w:t>
                            </w:r>
                          </w:p>
                        </w:tc>
                        <w:tc>
                          <w:tcPr>
                            <w:tcW w:w="69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12,00</w:t>
                            </w:r>
                          </w:p>
                        </w:tc>
                        <w:tc>
                          <w:tcPr>
                            <w:tcW w:w="69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5,01</w:t>
                            </w: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7,66</w:t>
                            </w: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8,15</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3"/>
                        </w:trPr>
                        <w:tc>
                          <w:tcPr>
                            <w:tcW w:w="3870" w:type="dxa"/>
                            <w:tcBorders>
                              <w:top w:val="single" w:sz="4" w:space="0" w:color="004B6B"/>
                              <w:left w:val="nil"/>
                              <w:bottom w:val="single" w:sz="4" w:space="0" w:color="004B6B"/>
                              <w:right w:val="nil"/>
                              <w:tl2br w:val="nil"/>
                              <w:tr2bl w:val="nil"/>
                            </w:tcBorders>
                            <w:shd w:val="clear" w:color="FFFFFF" w:fill="FFFFFF"/>
                            <w:noWrap w:val="0"/>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*Kaupankäyntimäärillä painotettu keskikurssi</w:t>
                            </w:r>
                          </w:p>
                        </w:tc>
                        <w:tc>
                          <w:tcPr>
                            <w:tcW w:w="69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3"/>
                        </w:trPr>
                        <w:tc>
                          <w:tcPr>
                            <w:tcW w:w="387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val="0"/>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Markkina-arvo</w:t>
                            </w:r>
                          </w:p>
                        </w:tc>
                        <w:tc>
                          <w:tcPr>
                            <w:tcW w:w="69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69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31.12.2019</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MEUR</w:t>
                            </w: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4 823</w:t>
                            </w:r>
                          </w:p>
                        </w:tc>
                        <w:tc>
                          <w:tcPr>
                            <w:tcW w:w="2430" w:type="dxa"/>
                            <w:tcBorders>
                              <w:top w:val="single" w:sz="8" w:space="0" w:color="000000"/>
                              <w:left w:val="nil"/>
                              <w:bottom w:val="single" w:sz="4" w:space="0" w:color="004B6B"/>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5 828</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4" w:space="0" w:color="004B6B"/>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Ulkomaalaisomistus</w:t>
                            </w:r>
                          </w:p>
                        </w:tc>
                        <w:tc>
                          <w:tcPr>
                            <w:tcW w:w="69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690" w:type="dxa"/>
                            <w:tcBorders>
                              <w:top w:val="single" w:sz="4" w:space="0" w:color="004B6B"/>
                              <w:left w:val="nil"/>
                              <w:bottom w:val="single" w:sz="8" w:space="0" w:color="000000"/>
                              <w:right w:val="nil"/>
                              <w:tl2br w:val="nil"/>
                              <w:tr2bl w:val="nil"/>
                            </w:tcBorders>
                            <w:shd w:val="clear" w:color="FFFFFF" w:fill="F0F4F6"/>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31.12.2020</w:t>
                            </w:r>
                          </w:p>
                        </w:tc>
                        <w:tc>
                          <w:tcPr>
                            <w:tcW w:w="2430" w:type="dxa"/>
                            <w:tcBorders>
                              <w:top w:val="single" w:sz="4" w:space="0" w:color="004B6B"/>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31.12.2019</w:t>
                            </w:r>
                          </w:p>
                        </w:tc>
                      </w:tr>
                      <w:tr>
                        <w:tblPrEx>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3870"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w:t>
                            </w: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690" w:type="dxa"/>
                            <w:tcBorders>
                              <w:top w:val="single" w:sz="8" w:space="0" w:color="000000"/>
                              <w:left w:val="nil"/>
                              <w:bottom w:val="single" w:sz="4" w:space="0" w:color="004B6B"/>
                              <w:right w:val="nil"/>
                              <w:tl2br w:val="nil"/>
                              <w:tr2bl w:val="nil"/>
                            </w:tcBorders>
                            <w:shd w:val="clear" w:color="FFFFFF" w:fill="FFFFFF"/>
                            <w:noWrap/>
                            <w:tcMar>
                              <w:left w:w="0" w:type="dxa"/>
                              <w:right w:w="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p>
                        </w:tc>
                        <w:tc>
                          <w:tcPr>
                            <w:tcW w:w="2430" w:type="dxa"/>
                            <w:tcBorders>
                              <w:top w:val="single" w:sz="8" w:space="0" w:color="000000"/>
                              <w:left w:val="nil"/>
                              <w:bottom w:val="single" w:sz="4"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50,7</w:t>
                            </w:r>
                          </w:p>
                        </w:tc>
                        <w:tc>
                          <w:tcPr>
                            <w:tcW w:w="2430" w:type="dxa"/>
                            <w:tcBorders>
                              <w:top w:val="single" w:sz="8" w:space="0" w:color="000000"/>
                              <w:left w:val="nil"/>
                              <w:bottom w:val="single" w:sz="4" w:space="0" w:color="000000"/>
                              <w:right w:val="nil"/>
                              <w:tl2br w:val="nil"/>
                              <w:tr2bl w:val="nil"/>
                            </w:tcBorders>
                            <w:shd w:val="clear" w:color="FFFFFF" w:fill="FFFFFF"/>
                            <w:noWrap/>
                            <w:tcMar>
                              <w:left w:w="40" w:type="dxa"/>
                              <w:right w:w="85"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52,8</w:t>
                            </w:r>
                          </w:p>
                        </w:tc>
                      </w:tr>
                    </w:tbl>
                    <w:p w:rsidR="00542C05" w:rsidRPr="009F48CB" w:rsidP="009F48CB" w14:textId="77777777">
                      <w:pPr>
                        <w:rPr>
                          <w:lang w:val="fi-FI"/>
                        </w:rPr>
                      </w:pPr>
                    </w:p>
                  </w:txbxContent>
                </v:textbox>
                <w10:wrap type="square"/>
              </v:shape>
            </w:pict>
          </mc:Fallback>
        </mc:AlternateContent>
      </w:r>
      <w:bookmarkStart w:id="23" w:name="RG_MARKER_4142"/>
      <w:r w:rsidR="000B36F1">
        <w:t>Osakkeet ja osakkeenomistajat</w:t>
      </w:r>
      <w:bookmarkEnd w:id="23"/>
    </w:p>
    <w:p w:rsidR="00542C05" w:rsidP="003F3042" w14:paraId="109DF080" w14:textId="627A4DB0">
      <w:pPr>
        <w:pStyle w:val="WNormal"/>
      </w:pPr>
      <w:r>
        <w:t xml:space="preserve">Vuonna </w:t>
      </w:r>
      <w:r>
        <w:t>2020</w:t>
      </w:r>
      <w:r>
        <w:t xml:space="preserve"> </w:t>
      </w:r>
      <w:r w:rsidR="00351519">
        <w:t xml:space="preserve">Wärtsilän osakkeita vaihdettiin Nasdaq Helsingissä </w:t>
      </w:r>
      <w:r w:rsidR="00351519">
        <w:t>635 449 872</w:t>
      </w:r>
      <w:r w:rsidR="00351519">
        <w:t xml:space="preserve"> kappaletta. Vaihdettujen osakkeiden arvo oli </w:t>
      </w:r>
      <w:r w:rsidR="00351519">
        <w:t>4 865</w:t>
      </w:r>
      <w:r w:rsidR="00351519">
        <w:t xml:space="preserve"> miljoonaa euroa. Wärtsilän osakkeilla käydään kauppaa myös vaihtoehtoisilla kaupankäyntipaikoilla kuten Turquoisessa, BATS CXE:ssä ja BATS BXE:ssä. Osakkeita vaihdettiin näillä vaihtoehtoisilla kaupankäyntipaikoilla yhteensä </w:t>
      </w:r>
      <w:r w:rsidR="00351519">
        <w:t>199 394 959</w:t>
      </w:r>
      <w:r w:rsidR="00351519">
        <w:t xml:space="preserve"> kappaletta.</w:t>
      </w:r>
    </w:p>
    <w:p w:rsidR="009E7660" w:rsidP="003F3042" w14:paraId="56143FCC" w14:textId="77777777">
      <w:pPr>
        <w:pStyle w:val="WNormal"/>
        <w:sectPr w:rsidSect="00B8775C">
          <w:headerReference w:type="default" r:id="rId17"/>
          <w:type w:val="continuous"/>
          <w:pgSz w:w="16838" w:h="11906" w:orient="landscape"/>
          <w:pgMar w:top="1814" w:right="737" w:bottom="1247" w:left="737" w:header="720" w:footer="720" w:gutter="0"/>
          <w:pgBorders w:zOrder="front" w:display="allPages" w:offsetFrom="text">
            <w:top w:val="nil"/>
            <w:left w:val="nil"/>
            <w:bottom w:val="nil"/>
            <w:right w:val="nil"/>
          </w:pgBorders>
          <w:cols w:num="3" w:space="510"/>
          <w:vAlign w:val="top"/>
          <w:titlePg w:val="0"/>
          <w:rtlGutter w:val="0"/>
          <w:docGrid w:linePitch="360"/>
        </w:sectPr>
      </w:pPr>
    </w:p>
    <w:p w:rsidR="009E7660" w:rsidRPr="00446EA1" w:rsidP="003F3042" w14:paraId="548EB660" w14:textId="7D065FD1">
      <w:pPr>
        <w:pStyle w:val="WNormal"/>
      </w:pPr>
      <w:r>
        <mc:AlternateContent>
          <mc:Choice Requires="wps">
            <w:drawing>
              <wp:anchor distT="45720" distB="45720" distL="114300" distR="114300" simplePos="0" relativeHeight="251663360" behindDoc="0" locked="0" layoutInCell="1" allowOverlap="1">
                <wp:simplePos x="0" y="0"/>
                <wp:positionH relativeFrom="rightMargin">
                  <wp:posOffset>-9820910</wp:posOffset>
                </wp:positionH>
                <wp:positionV relativeFrom="bottomMargin">
                  <wp:posOffset>-5593080</wp:posOffset>
                </wp:positionV>
                <wp:extent cx="6792595" cy="5901690"/>
                <wp:effectExtent l="0" t="0" r="8255" b="3810"/>
                <wp:wrapSquare wrapText="bothSides"/>
                <wp:docPr id="17179662"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792595" cy="5901690"/>
                        </a:xfrm>
                        <a:prstGeom prst="rect">
                          <a:avLst/>
                        </a:prstGeom>
                        <a:solidFill>
                          <a:srgbClr val="FFFFFF"/>
                        </a:solidFill>
                        <a:ln w="9525">
                          <a:noFill/>
                          <a:miter lim="800000"/>
                          <a:headEnd/>
                          <a:tailEnd/>
                        </a:ln>
                      </wps:spPr>
                      <wps:txbx>
                        <w:txbxContent>
                          <w:p w:rsidR="00542C05" w:rsidP="00D245ED" w14:textId="77777777">
                            <w:pPr>
                              <w:pStyle w:val="Subtitle"/>
                            </w:pPr>
                            <w:r>
                              <w:t>Liputusilmoitukset</w:t>
                            </w:r>
                          </w:p>
                          <w:p w:rsidR="00542C05" w:rsidP="003F3042" w14:textId="77777777">
                            <w:pPr>
                              <w:pStyle w:val="WNormal"/>
                            </w:pPr>
                            <w:r>
                              <w:t xml:space="preserve">Wärtsilä sai tietoonsa seuraavat omistuksessa tapahtuneet muutokset vuonna </w:t>
                            </w:r>
                            <w:r>
                              <w:t>2020</w:t>
                            </w:r>
                            <w:r>
                              <w:t>:</w:t>
                            </w:r>
                          </w:p>
                          <w:tbl>
                            <w:tblPr>
                              <w:tblStyle w:val="TableNormal"/>
                              <w:tblCaption w:val="Table_Flagging_FI"/>
                              <w:tblW w:w="10125" w:type="dxa"/>
                              <w:tblLayout w:type="fixed"/>
                              <w:tblLook w:val="0600"/>
                            </w:tblPr>
                            <w:tblGrid>
                              <w:gridCol w:w="2025"/>
                              <w:gridCol w:w="2025"/>
                              <w:gridCol w:w="2025"/>
                              <w:gridCol w:w="2025"/>
                              <w:gridCol w:w="2025"/>
                            </w:tblGrid>
                            <w:tr>
                              <w:tblPrEx>
                                <w:tblW w:w="10125" w:type="dxa"/>
                                <w:tblLayout w:type="fixed"/>
                                <w:tblLook w:val="0600"/>
                              </w:tblPrEx>
                              <w:trPr>
                                <w:trHeight w:hRule="exact" w:val="253"/>
                              </w:trPr>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Tapahtumapäivä</w:t>
                                  </w:r>
                                </w:p>
                              </w:tc>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Osakkeenomistaja</w:t>
                                  </w:r>
                                </w:p>
                              </w:tc>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Kynnys</w:t>
                                  </w:r>
                                </w:p>
                              </w:tc>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Suora omistus, %</w:t>
                                  </w:r>
                                </w:p>
                              </w:tc>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Kokonaisomistus, %</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24.3.2020</w:t>
                                  </w:r>
                                </w:p>
                              </w:tc>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4,85</w:t>
                                  </w:r>
                                </w:p>
                              </w:tc>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5,11</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31.3.2020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4,82</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1.4.2020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4,48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2.4.2020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4,37</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4,94</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25.5.2020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4,48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26.5.2020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18.6.2020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4,69</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5,13</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15.7.2020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5,02</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5,80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23.7.2020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5,33</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24.7.2020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5,12</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5,54</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27.7.2020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5,44</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28.7.2020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5,01</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5,47</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29.7.2020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31.7.2020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5,04</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5,48</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5.8.2020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4,99</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5,43</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6.8.2020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5,47</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11.8.2020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4,96</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5,31</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11.9.2020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5,03</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5,58</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18.9.2020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4,78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5,57</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21.10.2020</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14.12.2020</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4,89</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15.12.2020</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r>
                          </w:tbl>
                          <w:p w:rsidR="00542C05" w:rsidP="00542C05" w14:textId="77777777">
                            <w:pPr>
                              <w:pStyle w:val="Wnormal0"/>
                              <w:spacing w:after="120"/>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id="Text Box 1" o:spid="_x0000_s1030" type="#_x0000_t202" style="width:534.85pt;height:464.7pt;margin-top:-440.4pt;margin-left:-773.3pt;mso-height-percent:0;mso-height-relative:margin;mso-position-horizontal-relative:right-margin-area;mso-position-vertical-relative:bottom-margin-area;mso-width-percent:0;mso-width-relative:margin;mso-wrap-distance-bottom:3.6pt;mso-wrap-distance-left:9pt;mso-wrap-distance-right:9pt;mso-wrap-distance-top:3.6pt;position:absolute;v-text-anchor:top;z-index:251662336" fillcolor="white" stroked="f" strokeweight="0.75pt">
                <v:textbox>
                  <w:txbxContent>
                    <w:p w:rsidR="00542C05" w:rsidP="00D245ED" w14:textId="77777777">
                      <w:pPr>
                        <w:pStyle w:val="Subtitle"/>
                      </w:pPr>
                      <w:r>
                        <w:t>Liputusilmoitukset</w:t>
                      </w:r>
                    </w:p>
                    <w:p w:rsidR="00542C05" w:rsidP="003F3042" w14:textId="77777777">
                      <w:pPr>
                        <w:pStyle w:val="WNormal"/>
                      </w:pPr>
                      <w:r>
                        <w:t xml:space="preserve">Wärtsilä sai tietoonsa seuraavat omistuksessa tapahtuneet muutokset vuonna </w:t>
                      </w:r>
                      <w:r>
                        <w:t>2020</w:t>
                      </w:r>
                      <w:r>
                        <w:t>:</w:t>
                      </w:r>
                    </w:p>
                    <w:tbl>
                      <w:tblPr>
                        <w:tblStyle w:val="TableNormal"/>
                        <w:tblCaption w:val="Table_Flagging_FI"/>
                        <w:tblW w:w="10125" w:type="dxa"/>
                        <w:tblLayout w:type="fixed"/>
                        <w:tblLook w:val="0600"/>
                      </w:tblPr>
                      <w:tblGrid>
                        <w:gridCol w:w="2025"/>
                        <w:gridCol w:w="2025"/>
                        <w:gridCol w:w="2025"/>
                        <w:gridCol w:w="2025"/>
                        <w:gridCol w:w="2025"/>
                      </w:tblGrid>
                      <w:tr>
                        <w:tblPrEx>
                          <w:tblW w:w="10125" w:type="dxa"/>
                          <w:tblLayout w:type="fixed"/>
                          <w:tblLook w:val="0600"/>
                        </w:tblPrEx>
                        <w:trPr>
                          <w:trHeight w:hRule="exact" w:val="253"/>
                        </w:trPr>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Tapahtumapäivä</w:t>
                            </w:r>
                          </w:p>
                        </w:tc>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Osakkeenomistaja</w:t>
                            </w:r>
                          </w:p>
                        </w:tc>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Kynnys</w:t>
                            </w:r>
                          </w:p>
                        </w:tc>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Suora omistus, %</w:t>
                            </w:r>
                          </w:p>
                        </w:tc>
                        <w:tc>
                          <w:tcPr>
                            <w:tcW w:w="2025" w:type="dxa"/>
                            <w:tcBorders>
                              <w:top w:val="nil"/>
                              <w:left w:val="nil"/>
                              <w:bottom w:val="single" w:sz="8" w:space="0" w:color="000000"/>
                              <w:right w:val="nil"/>
                              <w:tl2br w:val="nil"/>
                              <w:tr2bl w:val="nil"/>
                            </w:tcBorders>
                            <w:shd w:val="clear" w:color="FFFFFF" w:fill="F0F4F6"/>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4"/>
                                <w:u w:val="none"/>
                                <w:vertAlign w:val="baseline"/>
                              </w:rPr>
                            </w:pPr>
                            <w:r>
                              <w:rPr>
                                <w:rFonts w:ascii="Arial" w:eastAsia="Arial" w:hAnsi="Arial" w:cs="Arial"/>
                                <w:b/>
                                <w:i w:val="0"/>
                                <w:strike w:val="0"/>
                                <w:color w:val="000000"/>
                                <w:sz w:val="14"/>
                                <w:u w:val="none"/>
                                <w:vertAlign w:val="baseline"/>
                              </w:rPr>
                              <w:t>Kokonaisomistus, %</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24.3.2020</w:t>
                            </w:r>
                          </w:p>
                        </w:tc>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4,85</w:t>
                            </w:r>
                          </w:p>
                        </w:tc>
                        <w:tc>
                          <w:tcPr>
                            <w:tcW w:w="2025" w:type="dxa"/>
                            <w:tcBorders>
                              <w:top w:val="single" w:sz="8" w:space="0" w:color="000000"/>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5,11</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31.3.2020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4,82</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1.4.2020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4,48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2.4.2020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4,37</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4,94</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25.5.2020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4,48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26.5.2020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18.6.2020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4,69</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5,13</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15.7.2020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5,02</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5,80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23.7.2020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5,33</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24.7.2020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5,12</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5,54</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27.7.2020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5,44</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28.7.2020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5,01</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5,47</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29.7.2020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31.7.2020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5,04</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5,48</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5.8.2020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4,99</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5,43</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6.8.2020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5,47</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11.8.2020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4,96</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5,31</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11.9.2020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5,03</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5,58</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18.9.2020</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4,78</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5,57</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21.10.2020</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14.12.2020</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Yli 5%</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4,89</w:t>
                            </w:r>
                          </w:p>
                        </w:tc>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5,00</w:t>
                            </w:r>
                          </w:p>
                        </w:tc>
                      </w:tr>
                      <w:tr>
                        <w:tblPrEx>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3"/>
                        </w:trPr>
                        <w:tc>
                          <w:tcPr>
                            <w:tcW w:w="2025" w:type="dxa"/>
                            <w:tcBorders>
                              <w:top w:val="single" w:sz="4" w:space="0" w:color="004B6B"/>
                              <w:left w:val="nil"/>
                              <w:bottom w:val="single" w:sz="4" w:space="0" w:color="004B6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15.12.2020</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BlackRock, Inc.</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c>
                          <w:tcPr>
                            <w:tcW w:w="2025" w:type="dxa"/>
                            <w:tcBorders>
                              <w:top w:val="single" w:sz="4" w:space="0" w:color="004B6B"/>
                              <w:left w:val="nil"/>
                              <w:bottom w:val="single" w:sz="4" w:space="0" w:color="000000"/>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val="0"/>
                                <w:i w:val="0"/>
                                <w:strike w:val="0"/>
                                <w:color w:val="111111"/>
                                <w:sz w:val="14"/>
                                <w:u w:val="none"/>
                                <w:vertAlign w:val="baseline"/>
                              </w:rPr>
                            </w:pPr>
                            <w:r>
                              <w:rPr>
                                <w:rFonts w:ascii="Arial" w:eastAsia="Arial" w:hAnsi="Arial" w:cs="Arial"/>
                                <w:b w:val="0"/>
                                <w:i w:val="0"/>
                                <w:strike w:val="0"/>
                                <w:color w:val="111111"/>
                                <w:sz w:val="14"/>
                                <w:u w:val="none"/>
                                <w:vertAlign w:val="baseline"/>
                              </w:rPr>
                              <w:t>Alle 5%</w:t>
                            </w:r>
                          </w:p>
                        </w:tc>
                      </w:tr>
                    </w:tbl>
                    <w:p w:rsidR="00542C05" w:rsidP="00542C05" w14:textId="77777777">
                      <w:pPr>
                        <w:pStyle w:val="Wnormal0"/>
                        <w:spacing w:after="120"/>
                      </w:pPr>
                    </w:p>
                  </w:txbxContent>
                </v:textbox>
                <w10:wrap type="square"/>
              </v:shape>
            </w:pict>
          </mc:Fallback>
        </mc:AlternateContent>
      </w:r>
      <w:r>
        <w:t xml:space="preserve"> </w:t>
      </w:r>
    </w:p>
    <w:p w:rsidR="00860837" w:rsidRPr="00167A85" w:rsidP="00764D55">
      <w:pPr>
        <w:pStyle w:val="WHeadingException1"/>
      </w:pPr>
      <w:bookmarkStart w:id="24" w:name="RG_MARKER_5020"/>
      <w:r w:rsidRPr="00167A85">
        <w:t>Varsinaisen yhtiökokouksen päätökset</w:t>
      </w:r>
      <w:bookmarkEnd w:id="24"/>
    </w:p>
    <w:p w:rsidR="00860837" w:rsidP="00464E69">
      <w:pPr>
        <w:pStyle w:val="WNormal"/>
      </w:pPr>
      <w:r>
        <w:t xml:space="preserve">Wärtsilän </w:t>
      </w:r>
      <w:r w:rsidR="00F93561">
        <w:t>5</w:t>
      </w:r>
      <w:r>
        <w:t>.3.20</w:t>
      </w:r>
      <w:r w:rsidR="00F93561">
        <w:t>20</w:t>
      </w:r>
      <w:r>
        <w:t xml:space="preserve"> pidetty varsinainen yhtiökokous vahvisti tilinpäätöksen ja myönsi hallituksen jäsenille ja toimitusjohtajalle vastuuvapauden tilikaudelta 201</w:t>
      </w:r>
      <w:r w:rsidR="00F93561">
        <w:t>9</w:t>
      </w:r>
      <w:r>
        <w:t>.</w:t>
      </w:r>
    </w:p>
    <w:p w:rsidR="00860837" w:rsidP="00464E69">
      <w:pPr>
        <w:pStyle w:val="WNormal"/>
      </w:pPr>
      <w:r>
        <w:t xml:space="preserve">Yhtiökokous päätti hallituksen jäsenmääräksi kahdeksan. Hallituksen jäseniksi valittiin </w:t>
      </w:r>
      <w:r w:rsidRPr="00F93561" w:rsidR="00F93561">
        <w:t xml:space="preserve">Maarit Aarni-Sirviö, Karen Bomba, Karin Falk, Johan Forssell, Tom </w:t>
      </w:r>
      <w:r w:rsidRPr="00F93561" w:rsidR="00F93561">
        <w:t>Johnstone</w:t>
      </w:r>
      <w:r w:rsidRPr="00F93561" w:rsidR="00F93561">
        <w:t xml:space="preserve">, Risto Murto, Mats </w:t>
      </w:r>
      <w:r w:rsidRPr="00F93561" w:rsidR="00F93561">
        <w:t>Rahmström</w:t>
      </w:r>
      <w:r w:rsidRPr="00F93561" w:rsidR="00F93561">
        <w:t xml:space="preserve"> ja Markus Rauramo.</w:t>
      </w:r>
    </w:p>
    <w:p w:rsidR="00403AA6" w:rsidP="00464E69">
      <w:pPr>
        <w:pStyle w:val="WNormal"/>
      </w:pPr>
      <w:r>
        <w:t>Tilintarkastajaksi vuodelle 20</w:t>
      </w:r>
      <w:r w:rsidR="00F93561">
        <w:t>20</w:t>
      </w:r>
      <w:r>
        <w:t xml:space="preserve"> valittiin tilintarkastusyhteisö </w:t>
      </w:r>
      <w:r>
        <w:t>PricewaterhouseCoopers</w:t>
      </w:r>
      <w:r>
        <w:t xml:space="preserve"> Oy.</w:t>
      </w:r>
    </w:p>
    <w:p w:rsidR="001062DB" w:rsidP="00C9471D">
      <w:pPr>
        <w:pStyle w:val="WHeadingException3"/>
      </w:pPr>
      <w:r>
        <w:t>Osingonjako</w:t>
      </w:r>
    </w:p>
    <w:p w:rsidR="001062DB" w:rsidP="00464E69">
      <w:pPr>
        <w:pStyle w:val="WNormal"/>
      </w:pPr>
      <w:r>
        <w:t>Yhtiökokous vahvisti hallituksen ehdotuksen, että o</w:t>
      </w:r>
      <w:r>
        <w:t>sinkoa maksetaan kahdessa erässä yhteensä 0,48 euroa/osake. Osingon ensimmäinen erä 0,24 euroa/osake maksettiin 16.3.2020 ja toinen erä 0,24 euroa/osake 17.9.2020.</w:t>
      </w:r>
    </w:p>
    <w:p w:rsidR="001062DB" w:rsidP="00C9471D">
      <w:pPr>
        <w:pStyle w:val="WHeadingException3"/>
        <w:rPr>
          <w:highlight w:val="cyan"/>
        </w:rPr>
      </w:pPr>
      <w:r>
        <w:t>Osakkeenomistajien nimitystoimikunta</w:t>
      </w:r>
    </w:p>
    <w:p w:rsidR="001062DB" w:rsidP="00464E69">
      <w:pPr>
        <w:pStyle w:val="WNormal"/>
      </w:pPr>
      <w:r>
        <w:t>Yhtiökokous päätti osakkeenomistajien nimitystoimikunna</w:t>
      </w:r>
      <w:r>
        <w:t>n perustamisesta. Toimikunta valmistelee hallituksen nimitys- ja palkitsemisasiat. Osakkeenomistajien nimitystoimikunnan työjärjestys hyväksyttiin ehdotuksen mukaisesti. Työjärjestys on saatavilla Wärtsilän verkkosivuilla.</w:t>
      </w:r>
    </w:p>
    <w:p w:rsidR="006A64A5" w:rsidP="00464E69">
      <w:pPr>
        <w:pStyle w:val="WNormal"/>
      </w:pPr>
      <w:r w:rsidRPr="006A64A5">
        <w:t>Nimitystoimikunta koostuu viidest</w:t>
      </w:r>
      <w:r w:rsidRPr="006A64A5">
        <w:t xml:space="preserve">ä jäsenestä, joista neljä edustaa neljää suurinta osakkeenomistajaa. Viides jäsen on Wärtsilän hallituksen puheenjohtaja. Neljä suurinta osakkeenomistajaa määräytyvät </w:t>
      </w:r>
      <w:r w:rsidRPr="006A64A5">
        <w:t>Euroclear</w:t>
      </w:r>
      <w:r w:rsidRPr="006A64A5">
        <w:t xml:space="preserve"> Finland Oy:n ylläpitämän osakasluettelon perusteella yhtiökokousta edeltävän ke</w:t>
      </w:r>
      <w:r w:rsidRPr="006A64A5">
        <w:t>säkuun 1. päivän tilanteen mukaisesti.</w:t>
      </w:r>
    </w:p>
    <w:p w:rsidR="006A64A5" w:rsidP="00464E69">
      <w:pPr>
        <w:pStyle w:val="WNormal"/>
      </w:pPr>
      <w:r>
        <w:t>Wärtsilän osakkeenomistajien nimitystoimikuntaan valitt</w:t>
      </w:r>
      <w:r w:rsidR="00906478">
        <w:t>iin</w:t>
      </w:r>
      <w:r>
        <w:t xml:space="preserve"> seuraavat jäsenet:</w:t>
      </w:r>
    </w:p>
    <w:p w:rsidR="006A64A5" w:rsidRPr="00940FB9" w:rsidP="00110576">
      <w:pPr>
        <w:pStyle w:val="WNormal"/>
        <w:numPr>
          <w:ilvl w:val="0"/>
          <w:numId w:val="1"/>
        </w:numPr>
      </w:pPr>
      <w:r w:rsidRPr="00940FB9">
        <w:t xml:space="preserve">Petra Hedengran (lakiasiainjohtaja, Investor AB), </w:t>
      </w:r>
      <w:r w:rsidRPr="00940FB9">
        <w:t>Invaw</w:t>
      </w:r>
      <w:r w:rsidRPr="00940FB9">
        <w:t xml:space="preserve"> Investor AB:n nimeämänä</w:t>
      </w:r>
    </w:p>
    <w:p w:rsidR="006A64A5" w:rsidRPr="00940FB9" w:rsidP="00110576">
      <w:pPr>
        <w:pStyle w:val="WNormal"/>
        <w:numPr>
          <w:ilvl w:val="0"/>
          <w:numId w:val="1"/>
        </w:numPr>
      </w:pPr>
      <w:r w:rsidRPr="00940FB9">
        <w:t xml:space="preserve">Reima </w:t>
      </w:r>
      <w:r w:rsidRPr="00940FB9">
        <w:t>Rytsölä</w:t>
      </w:r>
      <w:r w:rsidRPr="00940FB9">
        <w:t xml:space="preserve"> (varatoimitusjohtaja, sijoitukset, Keskinäine</w:t>
      </w:r>
      <w:r w:rsidRPr="00940FB9">
        <w:t>n työeläkevakuutusyhtiö Varma), Keskinäinen työeläkevakuutusyhtiö Varman nimeämänä</w:t>
      </w:r>
    </w:p>
    <w:p w:rsidR="006A64A5" w:rsidRPr="006A64A5" w:rsidP="00110576">
      <w:pPr>
        <w:pStyle w:val="WNormal"/>
        <w:numPr>
          <w:ilvl w:val="0"/>
          <w:numId w:val="1"/>
        </w:numPr>
      </w:pPr>
      <w:r w:rsidRPr="006A64A5">
        <w:t xml:space="preserve">Mikko </w:t>
      </w:r>
      <w:r w:rsidRPr="006A64A5">
        <w:t>Mursula</w:t>
      </w:r>
      <w:r w:rsidRPr="006A64A5">
        <w:t xml:space="preserve"> (varatoimitusjohtaja, sijoitukset, Keskinäinen Eläkevakuutusyhtiö Ilmarinen) Keskinäinen Eläkevakuutusyhtiö Ilmarisen nimeämänä</w:t>
      </w:r>
    </w:p>
    <w:p w:rsidR="006A64A5" w:rsidRPr="00940FB9" w:rsidP="00110576">
      <w:pPr>
        <w:pStyle w:val="WNormal"/>
        <w:numPr>
          <w:ilvl w:val="0"/>
          <w:numId w:val="1"/>
        </w:numPr>
      </w:pPr>
      <w:r w:rsidRPr="00940FB9">
        <w:t xml:space="preserve">Satu </w:t>
      </w:r>
      <w:r w:rsidRPr="00940FB9">
        <w:t>Huber</w:t>
      </w:r>
      <w:r w:rsidRPr="00940FB9">
        <w:t xml:space="preserve"> (toimitusjohtaja, Ke</w:t>
      </w:r>
      <w:r w:rsidRPr="00940FB9">
        <w:t>skinäinen Työeläkevakuutusyhtiö Elo) Keskinäinen Työeläkevakuutusyhtiö Elon nimeämänä</w:t>
      </w:r>
    </w:p>
    <w:p w:rsidR="006A64A5" w:rsidRPr="00940FB9" w:rsidP="00110576">
      <w:pPr>
        <w:pStyle w:val="WNormal"/>
        <w:numPr>
          <w:ilvl w:val="0"/>
          <w:numId w:val="1"/>
        </w:numPr>
      </w:pPr>
      <w:r w:rsidRPr="00940FB9">
        <w:t xml:space="preserve">Tom </w:t>
      </w:r>
      <w:r w:rsidRPr="00940FB9">
        <w:t>Johnstone</w:t>
      </w:r>
      <w:r w:rsidRPr="00940FB9">
        <w:t xml:space="preserve"> (Wärtsilän hallituksen puheenjohtaja)</w:t>
      </w:r>
    </w:p>
    <w:p w:rsidR="001D0996" w:rsidP="00C9471D">
      <w:pPr>
        <w:pStyle w:val="WHeadingException3"/>
      </w:pPr>
      <w:r>
        <w:t>Valtuutus omien osakkeiden hankkimiseen</w:t>
      </w:r>
    </w:p>
    <w:p w:rsidR="001D0996" w:rsidP="00464E69">
      <w:pPr>
        <w:pStyle w:val="WNormal"/>
      </w:pPr>
      <w:r>
        <w:t>Hallitus valtuutettiin päättämään enintään 57</w:t>
      </w:r>
      <w:r w:rsidR="00AD036E">
        <w:t> </w:t>
      </w:r>
      <w:r>
        <w:t>000</w:t>
      </w:r>
      <w:r w:rsidR="00AD036E">
        <w:t xml:space="preserve"> </w:t>
      </w:r>
      <w:r>
        <w:t>000 yhtiön oman osakkeen han</w:t>
      </w:r>
      <w:r>
        <w:t>kkimisesta. Hankkimisvaltuutus on voimassa seuraavan varsinaisen yhtiökokouksen päättymiseen asti, kuitenkin enintään 18 kuukautta yhtiökokouksen päätöksestä.</w:t>
      </w:r>
    </w:p>
    <w:p w:rsidR="001D0996" w:rsidP="00C9471D">
      <w:pPr>
        <w:pStyle w:val="WHeadingException3"/>
      </w:pPr>
      <w:r>
        <w:t>Osakeantivaltuutus</w:t>
      </w:r>
    </w:p>
    <w:p w:rsidR="001D0996" w:rsidP="006E3465">
      <w:pPr>
        <w:pStyle w:val="WNormal"/>
      </w:pPr>
      <w:r>
        <w:t>Hallitus valtuutettiin päättämään uusien osakkeiden antamisesta tai yhtiön hal</w:t>
      </w:r>
      <w:r>
        <w:t>lussa olevien omien osakkeiden luovuttamisesta. Osakeannin suuruus on enintään 57</w:t>
      </w:r>
      <w:r w:rsidR="00AD036E">
        <w:t> </w:t>
      </w:r>
      <w:r>
        <w:t>000</w:t>
      </w:r>
      <w:r w:rsidR="00AD036E">
        <w:t xml:space="preserve"> </w:t>
      </w:r>
      <w:r>
        <w:t>000 osaketta. Osakkeita voidaan antaa maksua vastaan tai maksutta. Osakkeita voidaan myös antaa suunnatulla annilla muutoin kuin siinä suhteessa, jossa osakkeenomistajall</w:t>
      </w:r>
      <w:r>
        <w:t>a on etuoikeus hankkia yhtiön omia osakkeita, jos siihen on yhtiön kannalta painava taloudellinen syy. Osakeantivaltuutus on voimassa kolme vuotta yhtiökokouksen päätöksestä, ja se kumoaa varsinaisen yhtiökokouksen 7.3.2019 antaman valtuutuksen omien osakk</w:t>
      </w:r>
      <w:r>
        <w:t>eiden luovuttamiseen.</w:t>
      </w:r>
    </w:p>
    <w:p w:rsidR="00497D7A" w:rsidP="00C9471D">
      <w:pPr>
        <w:pStyle w:val="WHeadingException3"/>
      </w:pPr>
      <w:r>
        <w:t>Hallituksen järjestäytyminen</w:t>
      </w:r>
    </w:p>
    <w:p w:rsidR="00497D7A" w:rsidP="00464E69">
      <w:pPr>
        <w:pStyle w:val="WNormal"/>
      </w:pPr>
      <w:r>
        <w:t xml:space="preserve">Hallitus valitsi yhtiökokouksen jälkeen pitämässään järjestäytymiskokouksessa puheenjohtajaksi Tom </w:t>
      </w:r>
      <w:r>
        <w:t>Johnstonen</w:t>
      </w:r>
      <w:r>
        <w:t xml:space="preserve"> ja varapuheenjohtajaksi Markus Rauramon. Hallitus päätti perustaa tarkastusvaliokunnan ja </w:t>
      </w:r>
      <w:r w:rsidR="00140E6B">
        <w:t>henkilöstö</w:t>
      </w:r>
      <w:r>
        <w:t>valiokunnan. Hallitus valitsi keskuudestaan valiokuntiin seuraavat jäsenet:</w:t>
      </w:r>
    </w:p>
    <w:p w:rsidR="00497D7A" w:rsidP="00464E69">
      <w:pPr>
        <w:pStyle w:val="WNormal"/>
      </w:pPr>
      <w:r>
        <w:rPr>
          <w:b/>
          <w:bCs/>
        </w:rPr>
        <w:t xml:space="preserve">Tarkastusvaliokunta: </w:t>
      </w:r>
      <w:r>
        <w:t>puheenjohtaja Markus Rauramo, Maarit Aarni-Sirviö, Risto Murto</w:t>
      </w:r>
    </w:p>
    <w:p w:rsidR="001062DB" w:rsidRPr="00860837" w:rsidP="00464E69">
      <w:pPr>
        <w:pStyle w:val="WNormal"/>
      </w:pPr>
      <w:r>
        <w:rPr>
          <w:b/>
          <w:bCs/>
        </w:rPr>
        <w:t>Henkilöstövaliokunta:</w:t>
      </w:r>
      <w:r>
        <w:t xml:space="preserve"> puheenjohtaja Maarit Aarni-Sirviö, Johan Forssell, Tom </w:t>
      </w:r>
      <w:r>
        <w:t>Johnstone</w:t>
      </w:r>
    </w:p>
    <w:p w:rsidR="00532155" w:rsidRPr="00532155" w:rsidP="0071700E">
      <w:pPr>
        <w:pStyle w:val="WHeading20"/>
      </w:pPr>
      <w:bookmarkStart w:id="25" w:name="RG_MARKER_5022"/>
      <w:r w:rsidRPr="00532155">
        <w:t>Wärtsilä</w:t>
      </w:r>
      <w:bookmarkEnd w:id="25"/>
      <w:r>
        <w:t xml:space="preserve">n </w:t>
      </w:r>
      <w:r w:rsidRPr="002325EE">
        <w:t>näkymät vuodelle 202</w:t>
      </w:r>
      <w:r>
        <w:t>1</w:t>
      </w:r>
    </w:p>
    <w:p w:rsidR="00624C3F" w:rsidRPr="00574AED" w:rsidP="00574AED">
      <w:pPr>
        <w:pStyle w:val="WNormal"/>
        <w:rPr>
          <w:sz w:val="20"/>
        </w:rPr>
      </w:pPr>
      <w:r>
        <w:t xml:space="preserve">Wärtsilä ennakoi lyhyen aikavälin kysyntäympäristön </w:t>
      </w:r>
      <w:r>
        <w:t>olevan samankaltainen kuin</w:t>
      </w:r>
      <w:r>
        <w:t xml:space="preserve"> viime </w:t>
      </w:r>
      <w:r>
        <w:t>vuoden vastaavalla</w:t>
      </w:r>
      <w:r>
        <w:t xml:space="preserve"> ajanjaksoll</w:t>
      </w:r>
      <w:r>
        <w:t>a</w:t>
      </w:r>
      <w:r>
        <w:t>. Ennustettavuus on kuitenkin edelleen rajallinen, ja vallitsevat markkinaolosuhteet tekevät näkymästä epävarman.</w:t>
      </w:r>
    </w:p>
    <w:p w:rsidR="004C30D4" w:rsidRPr="00636960" w:rsidP="00D076DC">
      <w:pPr>
        <w:pStyle w:val="WHeadingException2"/>
      </w:pPr>
      <w:bookmarkStart w:id="26" w:name="RG_MARKER_5024"/>
      <w:r w:rsidRPr="00636960">
        <w:t>Hallituksen voitonjakoehdotus</w:t>
      </w:r>
      <w:bookmarkEnd w:id="26"/>
    </w:p>
    <w:p w:rsidR="00636960" w:rsidRPr="001E173A" w:rsidP="000623F5">
      <w:pPr>
        <w:pStyle w:val="WNormal"/>
      </w:pPr>
      <w:r w:rsidRPr="00636960">
        <w:t xml:space="preserve">Hallitus ehdottaa, että tilivuodelta </w:t>
      </w:r>
      <w:r>
        <w:t>2020</w:t>
      </w:r>
      <w:r>
        <w:t xml:space="preserve"> </w:t>
      </w:r>
      <w:r w:rsidRPr="00636960">
        <w:t xml:space="preserve">maksetaan osinkoa </w:t>
      </w:r>
      <w:r>
        <w:t>0,20</w:t>
      </w:r>
      <w:r w:rsidRPr="00636960">
        <w:rPr>
          <w:color w:val="FF0000"/>
        </w:rPr>
        <w:t> </w:t>
      </w:r>
      <w:r w:rsidRPr="00636960">
        <w:t>euroa/osake. Emoyhtiön voitonjakokelpoiset varat ovat </w:t>
      </w:r>
      <w:r w:rsidRPr="00E30FEA">
        <w:t>974 008 736,28</w:t>
      </w:r>
      <w:r w:rsidRPr="00636960">
        <w:rPr>
          <w:color w:val="FF0000"/>
        </w:rPr>
        <w:t xml:space="preserve"> </w:t>
      </w:r>
      <w:r w:rsidRPr="00636960">
        <w:t xml:space="preserve">euroa, josta tilikauden voitto on </w:t>
      </w:r>
      <w:r w:rsidRPr="00E30FEA">
        <w:t xml:space="preserve">264 838 387,72 </w:t>
      </w:r>
      <w:r w:rsidRPr="00636960">
        <w:t>euroa. Osinkoon oikeuttavia osakkeita on 591</w:t>
      </w:r>
      <w:r w:rsidR="005977FF">
        <w:t> </w:t>
      </w:r>
      <w:r w:rsidRPr="00636960">
        <w:t>723</w:t>
      </w:r>
      <w:r w:rsidR="005977FF">
        <w:t xml:space="preserve"> </w:t>
      </w:r>
      <w:r w:rsidRPr="00636960">
        <w:t xml:space="preserve">390 kappaletta. </w:t>
      </w:r>
      <w:r w:rsidRPr="001E173A">
        <w:t>Osinko maksetaan kahdessa erässä.</w:t>
      </w:r>
    </w:p>
    <w:p w:rsidR="00636960" w:rsidRPr="001E173A" w:rsidP="000623F5">
      <w:pPr>
        <w:pStyle w:val="WNormal"/>
      </w:pPr>
      <w:r w:rsidRPr="001E173A">
        <w:t>Ensimmäinen erä 0,10</w:t>
      </w:r>
      <w:r w:rsidRPr="001E173A">
        <w:t xml:space="preserve"> </w:t>
      </w:r>
      <w:r w:rsidRPr="001E173A">
        <w:t xml:space="preserve">euroa/osake maksetaan osakkeenomistajalle, joka on osingonmaksun täsmäytyspäivänä </w:t>
      </w:r>
      <w:r w:rsidRPr="001E173A">
        <w:t>8</w:t>
      </w:r>
      <w:r w:rsidRPr="001E173A">
        <w:t>.3.2</w:t>
      </w:r>
      <w:r w:rsidRPr="001E173A">
        <w:t>02</w:t>
      </w:r>
      <w:r w:rsidRPr="001E173A">
        <w:t>1</w:t>
      </w:r>
      <w:r w:rsidRPr="001E173A">
        <w:t xml:space="preserve"> merkitty Euroclear Finland Oy:n pitämään osakasluetteloon. Hallitus esittää, että tämän erän osinko maksetaan </w:t>
      </w:r>
      <w:r w:rsidRPr="001E173A">
        <w:t>15</w:t>
      </w:r>
      <w:r w:rsidRPr="001E173A">
        <w:t>.3.202</w:t>
      </w:r>
      <w:r w:rsidRPr="001E173A">
        <w:t>1</w:t>
      </w:r>
      <w:r w:rsidRPr="001E173A">
        <w:t>.</w:t>
      </w:r>
    </w:p>
    <w:p w:rsidR="00B4426B" w:rsidRPr="00636960" w:rsidP="00B222CF">
      <w:pPr>
        <w:pStyle w:val="WNormal"/>
      </w:pPr>
      <w:r w:rsidRPr="001E173A">
        <w:t>Osingon toinen erä 0,10</w:t>
      </w:r>
      <w:r w:rsidRPr="001E173A">
        <w:t xml:space="preserve"> </w:t>
      </w:r>
      <w:r w:rsidRPr="00636960">
        <w:t>euroa/osake maksetaan syyskuussa 202</w:t>
      </w:r>
      <w:r>
        <w:t>1</w:t>
      </w:r>
      <w:r w:rsidRPr="00636960">
        <w:t>. Osingon toinen erä maksetaan osakkeenomistajalle, joka on osingonmak</w:t>
      </w:r>
      <w:r w:rsidRPr="00636960">
        <w:t xml:space="preserve">sun täsmäytyspäivänä merkitty Euroclear Finland Oy:n pitämään osakasluetteloon. Hallitus päättää </w:t>
      </w:r>
      <w:r w:rsidRPr="00B222CF">
        <w:t>9</w:t>
      </w:r>
      <w:r w:rsidRPr="00636960">
        <w:t>.9.202</w:t>
      </w:r>
      <w:r>
        <w:t>1</w:t>
      </w:r>
      <w:r w:rsidRPr="00636960">
        <w:t xml:space="preserve"> pidettäväksi sovitussa kokouksessaan toisen osinkoerän osingonmaksun täsmäytyspäivän ja osing</w:t>
      </w:r>
      <w:r w:rsidRPr="00636960">
        <w:t>onmaksupäivän. Suomalaisen arvo-osuusjärjestelmän nykyist</w:t>
      </w:r>
      <w:r w:rsidRPr="00636960">
        <w:t xml:space="preserve">en sääntöjen mukaisesti osingon täsmäytyspäivä olisi silloin </w:t>
      </w:r>
      <w:r w:rsidRPr="00B222CF">
        <w:t>13</w:t>
      </w:r>
      <w:r w:rsidRPr="00636960">
        <w:t>.9.202</w:t>
      </w:r>
      <w:r>
        <w:t>1</w:t>
      </w:r>
      <w:r w:rsidRPr="00636960">
        <w:t xml:space="preserve"> ja osingon maksupäivä </w:t>
      </w:r>
      <w:r w:rsidRPr="00B222CF">
        <w:t>20</w:t>
      </w:r>
      <w:r w:rsidRPr="00636960">
        <w:t>.9.202</w:t>
      </w:r>
      <w:r>
        <w:t>1</w:t>
      </w:r>
      <w:r w:rsidRPr="00636960">
        <w:t>.</w:t>
      </w:r>
    </w:p>
    <w:p w:rsidR="006779C0" w:rsidRPr="000D6EC7" w:rsidP="00356656" w14:paraId="171C1AE9" w14:textId="77777777">
      <w:pPr>
        <w:pStyle w:val="Wnormal0"/>
        <w:spacing w:after="20" w:line="20" w:lineRule="exact"/>
        <w:rPr>
          <w:lang w:val="en-GB"/>
        </w:rPr>
      </w:pPr>
      <w:bookmarkStart w:id="27" w:name="RG_MARKER_5337"/>
      <w:r w:rsidRPr="00224CB7">
        <w:rPr>
          <w:noProof/>
          <w:lang w:val="en-GB"/>
        </w:rPr>
        <mc:AlternateContent>
          <mc:Choice Requires="wps">
            <w:drawing>
              <wp:anchor distT="45720" distB="45720" distL="114300" distR="114300" simplePos="0" relativeHeight="251665408" behindDoc="0" locked="0" layoutInCell="1" allowOverlap="1">
                <wp:simplePos x="0" y="0"/>
                <wp:positionH relativeFrom="column">
                  <wp:posOffset>635</wp:posOffset>
                </wp:positionH>
                <wp:positionV relativeFrom="paragraph">
                  <wp:posOffset>0</wp:posOffset>
                </wp:positionV>
                <wp:extent cx="3099435" cy="2784475"/>
                <wp:effectExtent l="0" t="0" r="5715" b="0"/>
                <wp:wrapTopAndBottom/>
                <wp:docPr id="194784924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099435" cy="2784475"/>
                        </a:xfrm>
                        <a:prstGeom prst="rect">
                          <a:avLst/>
                        </a:prstGeom>
                        <a:solidFill>
                          <a:srgbClr val="FFFFFF"/>
                        </a:solidFill>
                        <a:ln w="9525">
                          <a:noFill/>
                          <a:miter lim="800000"/>
                          <a:headEnd/>
                          <a:tailEnd/>
                        </a:ln>
                      </wps:spPr>
                      <wps:txbx>
                        <w:txbxContent>
                          <w:p w:rsidR="00224CB7" w:rsidRPr="008C033D" w:rsidP="00224CB7" w14:textId="77777777">
                            <w:pPr>
                              <w:pStyle w:val="Subtitle"/>
                              <w:rPr>
                                <w:rStyle w:val="SubtitleChar"/>
                              </w:rPr>
                            </w:pPr>
                            <w:r w:rsidRPr="008C033D">
                              <w:rPr>
                                <w:rStyle w:val="SubtitleChar"/>
                                <w:b/>
                              </w:rPr>
                              <w:t>Osinko</w:t>
                            </w:r>
                          </w:p>
                          <w:p w:rsidR="00224CB7" w:rsidRPr="008C033D" w:rsidP="00224CB7" w14:textId="77777777">
                            <w:pPr>
                              <w:spacing w:line="120" w:lineRule="auto"/>
                              <w:rPr>
                                <w:sz w:val="10"/>
                                <w:szCs w:val="10"/>
                                <w:lang w:val="fi-FI"/>
                              </w:rPr>
                            </w:pPr>
                          </w:p>
                          <w:p w:rsidR="00224CB7" w:rsidRPr="008C033D" w:rsidP="00224CB7" w14:textId="77777777">
                            <w:pPr>
                              <w:spacing w:before="0" w:beforeAutospacing="0" w:after="0" w:afterAutospacing="0"/>
                              <w:rPr>
                                <w:rStyle w:val="Hyperlink"/>
                                <w:lang w:val="fi-FI"/>
                              </w:rPr>
                            </w:pPr>
                            <w:r w:rsidRPr="008C033D">
                              <w:rPr>
                                <w:lang w:val="fi-FI"/>
                              </w:rPr>
                              <w:t xml:space="preserve"> </w:t>
                            </w:r>
                            <w:r>
                              <w:drawing>
                                <wp:inline>
                                  <wp:extent cx="3025688" cy="1980000"/>
                                  <wp:docPr id="9" name="Chart_Dividend"/>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62CFB" w:rsidRPr="008C033D" w:rsidP="00614AB1" w14:textId="77777777">
                            <w:pPr>
                              <w:pStyle w:val="WChartText"/>
                              <w:spacing w:after="0"/>
                            </w:pPr>
                          </w:p>
                          <w:p w:rsidR="00DB554F" w:rsidRPr="008E7F32" w:rsidP="00614AB1" w14:textId="77777777">
                            <w:pPr>
                              <w:pStyle w:val="WChartText"/>
                              <w:spacing w:after="0"/>
                            </w:pPr>
                            <w:r w:rsidRPr="0037202A">
                              <w:t>Yhtiökokouksen 8.3.2018 hyväksymä maksuton osakeanti nosti</w:t>
                            </w:r>
                            <w:r>
                              <w:t xml:space="preserve"> osakkeiden</w:t>
                            </w:r>
                            <w:r w:rsidRPr="0037202A">
                              <w:t xml:space="preserve"> kokonaismäärän 591</w:t>
                            </w:r>
                            <w:r>
                              <w:t xml:space="preserve"> </w:t>
                            </w:r>
                            <w:r w:rsidRPr="0037202A">
                              <w:t>723</w:t>
                            </w:r>
                            <w:r>
                              <w:t xml:space="preserve"> </w:t>
                            </w:r>
                            <w:r w:rsidRPr="0037202A">
                              <w:t>390</w:t>
                            </w:r>
                            <w:r>
                              <w:t xml:space="preserve"> osakkeeseen. Vertailukausien 2011-2017 luvut on oikaistu </w:t>
                            </w:r>
                            <w:r>
                              <w:t>vastaamaan uutta osakemäärää.</w:t>
                            </w:r>
                          </w:p>
                        </w:txbxContent>
                      </wps:txbx>
                      <wps:bodyPr rot="0" vert="horz" wrap="square" lIns="0" tIns="0" rIns="0" bIns="0" anchor="t" anchorCtr="0"/>
                    </wps:wsp>
                  </a:graphicData>
                </a:graphic>
                <wp14:sizeRelH relativeFrom="margin">
                  <wp14:pctWidth>0</wp14:pctWidth>
                </wp14:sizeRelH>
                <wp14:sizeRelV relativeFrom="margin">
                  <wp14:pctHeight>0</wp14:pctHeight>
                </wp14:sizeRelV>
              </wp:anchor>
            </w:drawing>
          </mc:Choice>
          <mc:Fallback>
            <w:pict>
              <v:shape id="Text Box 2" o:spid="_x0000_s1031" type="#_x0000_t202" style="width:244.05pt;height:219.25pt;margin-top:0;margin-left:0.05pt;mso-height-percent:0;mso-height-relative:margin;mso-width-percent:0;mso-width-relative:margin;mso-wrap-distance-bottom:3.6pt;mso-wrap-distance-left:9pt;mso-wrap-distance-right:9pt;mso-wrap-distance-top:3.6pt;position:absolute;v-text-anchor:top;z-index:251664384" fillcolor="white" stroked="f" strokeweight="0.75pt">
                <v:textbox inset="0,0,0,0">
                  <w:txbxContent>
                    <w:p w:rsidR="00224CB7" w:rsidRPr="008C033D" w:rsidP="00224CB7" w14:textId="77777777">
                      <w:pPr>
                        <w:pStyle w:val="Subtitle"/>
                        <w:rPr>
                          <w:rStyle w:val="SubtitleChar"/>
                        </w:rPr>
                      </w:pPr>
                      <w:r w:rsidRPr="008C033D">
                        <w:rPr>
                          <w:rStyle w:val="SubtitleChar"/>
                          <w:b/>
                        </w:rPr>
                        <w:t>Osinko</w:t>
                      </w:r>
                    </w:p>
                    <w:p w:rsidR="00224CB7" w:rsidRPr="008C033D" w:rsidP="00224CB7" w14:textId="77777777">
                      <w:pPr>
                        <w:spacing w:line="120" w:lineRule="auto"/>
                        <w:rPr>
                          <w:sz w:val="10"/>
                          <w:szCs w:val="10"/>
                          <w:lang w:val="fi-FI"/>
                        </w:rPr>
                      </w:pPr>
                    </w:p>
                    <w:p w:rsidR="00224CB7" w:rsidRPr="008C033D" w:rsidP="00224CB7" w14:textId="77777777">
                      <w:pPr>
                        <w:spacing w:before="0" w:beforeAutospacing="0" w:after="0" w:afterAutospacing="0"/>
                        <w:rPr>
                          <w:rStyle w:val="Hyperlink"/>
                          <w:lang w:val="fi-FI"/>
                        </w:rPr>
                      </w:pPr>
                      <w:r w:rsidRPr="008C033D">
                        <w:rPr>
                          <w:lang w:val="fi-FI"/>
                        </w:rPr>
                        <w:t xml:space="preserve"> </w:t>
                      </w:r>
                      <w:drawing>
                        <wp:inline>
                          <wp:extent cx="3025688" cy="1980000"/>
                          <wp:docPr id="613303844" name="[PlaceholderChartForReportGeneration-15cf17da-e73c-4932-99bf-94c63f572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463571" name=""/>
                                  <pic:cNvPicPr>
                                    <a:picLocks noChangeAspect="1"/>
                                  </pic:cNvPicPr>
                                </pic:nvPicPr>
                                <pic:blipFill>
                                  <a:blip xmlns:r="http://schemas.openxmlformats.org/officeDocument/2006/relationships" r:embed="rId9"/>
                                  <a:stretch>
                                    <a:fillRect/>
                                  </a:stretch>
                                </pic:blipFill>
                                <pic:spPr>
                                  <a:xfrm>
                                    <a:off x="0" y="0"/>
                                    <a:ext cx="3025688" cy="1980000"/>
                                  </a:xfrm>
                                  <a:prstGeom prst="rect">
                                    <a:avLst/>
                                  </a:prstGeom>
                                </pic:spPr>
                              </pic:pic>
                            </a:graphicData>
                          </a:graphic>
                        </wp:inline>
                      </w:drawing>
                    </w:p>
                    <w:p w:rsidR="00862CFB" w:rsidRPr="008C033D" w:rsidP="00614AB1" w14:textId="77777777">
                      <w:pPr>
                        <w:pStyle w:val="WChartText"/>
                        <w:spacing w:after="0"/>
                      </w:pPr>
                    </w:p>
                    <w:p w:rsidR="00DB554F" w:rsidRPr="008E7F32" w:rsidP="00614AB1" w14:textId="77777777">
                      <w:pPr>
                        <w:pStyle w:val="WChartText"/>
                        <w:spacing w:after="0"/>
                      </w:pPr>
                      <w:r w:rsidRPr="0037202A">
                        <w:t>Yhtiökokouksen 8.3.2018 hyväksymä maksuton osakeanti nosti</w:t>
                      </w:r>
                      <w:r>
                        <w:t xml:space="preserve"> osakkeiden</w:t>
                      </w:r>
                      <w:r w:rsidRPr="0037202A">
                        <w:t xml:space="preserve"> kokonaismäärän 591</w:t>
                      </w:r>
                      <w:r>
                        <w:t xml:space="preserve"> </w:t>
                      </w:r>
                      <w:r w:rsidRPr="0037202A">
                        <w:t>723</w:t>
                      </w:r>
                      <w:r>
                        <w:t xml:space="preserve"> </w:t>
                      </w:r>
                      <w:r w:rsidRPr="0037202A">
                        <w:t>390</w:t>
                      </w:r>
                      <w:r>
                        <w:t xml:space="preserve"> osakkeeseen. Vertailukausien 2011-2017 luvut on oikaistu </w:t>
                      </w:r>
                      <w:r>
                        <w:t>vastaamaan uutta osakemäärää.</w:t>
                      </w:r>
                    </w:p>
                  </w:txbxContent>
                </v:textbox>
                <w10:wrap type="topAndBottom"/>
              </v:shape>
            </w:pict>
          </mc:Fallback>
        </mc:AlternateContent>
      </w:r>
      <w:bookmarkEnd w:id="27"/>
      <w:r>
        <w:t xml:space="preserve"> </w:t>
      </w:r>
    </w:p>
    <w:p w:rsidR="004C30D4" w:rsidRPr="00F669C9" w:rsidP="004E5F93">
      <w:pPr>
        <w:pStyle w:val="WHeadingException2"/>
      </w:pPr>
      <w:bookmarkStart w:id="28" w:name="RG_MARKER_5040"/>
      <w:r w:rsidRPr="00F669C9">
        <w:t>Katsauskauden jälkeiset tapahtumat</w:t>
      </w:r>
      <w:bookmarkEnd w:id="28"/>
    </w:p>
    <w:p w:rsidR="00B4426B" w:rsidRPr="00F669C9" w:rsidP="00F669C9">
      <w:pPr>
        <w:pStyle w:val="WNormal"/>
        <w:sectPr w:rsidSect="009E7660">
          <w:pgSz w:w="16838" w:h="11906" w:orient="landscape"/>
          <w:pgMar w:top="1814" w:right="737" w:bottom="1247" w:left="737" w:header="720" w:footer="720" w:gutter="0"/>
          <w:pgBorders w:zOrder="front" w:display="allPages" w:offsetFrom="text">
            <w:top w:val="nil"/>
            <w:left w:val="nil"/>
            <w:bottom w:val="nil"/>
            <w:right w:val="nil"/>
          </w:pgBorders>
          <w:cols w:num="3" w:sep="0" w:space="510" w:equalWidth="1"/>
          <w:vAlign w:val="top"/>
          <w:titlePg w:val="0"/>
          <w:rtlGutter w:val="0"/>
          <w:docGrid w:linePitch="360"/>
        </w:sectPr>
      </w:pPr>
      <w:r w:rsidRPr="00F669C9">
        <w:t>Tammikuussa 2021 Wärtsilä ilmoitti myyvänsä 100% omistamansa Entertainment-liiketoiminnan, Wärtsilä Funa GmbH:n, osakkeista ranskalaiselle pörssiyhtiölle Videlio SA:lle. Wärtsilä Entertainment suunnittelee, valmistaa ja integroi viihde-, valaistus-, valais</w:t>
      </w:r>
      <w:r w:rsidRPr="00F669C9">
        <w:t xml:space="preserve">tuksen säätö-, kuulutus- ja digitaalisen äänentoiston järjestelmiä risteilyaluksiin ja huvipuistoihin. </w:t>
      </w:r>
      <w:r w:rsidRPr="00F669C9">
        <w:t xml:space="preserve">Yrityksestä tuli osa Wärtsilää L-3 Communications MSI:n oston yhteydessä vuonna 2015. Sillä on </w:t>
      </w:r>
      <w:r w:rsidRPr="00F669C9">
        <w:t>172 työntekijää viidessä maassa, suurin osa Saksan Emdenissä. Liikevaihto vuonna 2020 oli noin 50 miljoonaa euroa.</w:t>
      </w:r>
    </w:p>
    <w:p w:rsidR="002642EE" w:rsidRPr="00C54FC6" w:rsidP="002642EE" w14:paraId="217C5495" w14:textId="5CE191C3">
      <w:pPr>
        <w:pStyle w:val="Heading10"/>
        <w:pageBreakBefore/>
        <w:rPr>
          <w:lang w:val="fi-FI"/>
        </w:rPr>
      </w:pPr>
      <w:bookmarkStart w:id="29" w:name="RG_MARKER_4732"/>
      <w:r w:rsidRPr="00C54FC6">
        <w:rPr>
          <w:lang w:val="fi-FI"/>
        </w:rPr>
        <w:t>VIISIVUOTISKATSAUS</w:t>
      </w:r>
      <w:bookmarkEnd w:id="29"/>
    </w:p>
    <w:p w:rsidR="00EB0F80" w:rsidRPr="00C54FC6" w:rsidP="00EB0F80" w14:paraId="1DC9871C" w14:textId="77777777">
      <w:pPr>
        <w:pStyle w:val="Bodytext2"/>
        <w:rPr>
          <w:lang w:val="fi-FI"/>
        </w:rPr>
      </w:pPr>
      <w:r w:rsidRPr="00EB0F80">
        <w:rPr>
          <w:lang w:val="fi-FI"/>
        </w:rPr>
        <w:t xml:space="preserve">Wärtsilä esittää tiettyjä taloudellisia tunnuslukuja, joita ei ole määritelty IFRS-standardissa. </w:t>
      </w:r>
      <w:r w:rsidRPr="00C54FC6">
        <w:rPr>
          <w:lang w:val="fi-FI"/>
        </w:rPr>
        <w:t>Vaihtoehtoiset tunnusluvut, kuten vertailukelpoinen liiketulos, vertailukelpoinen oikaistu EBITA, liiketoiminnan rahavirta ja nettovelkaantumisaste, ovat johdon seuraamia ja käyttämiä tunnuslukuja heidän arvioidessaan yhtiön liiketoiminnan kehitystä ja tal</w:t>
      </w:r>
      <w:r w:rsidRPr="00C54FC6">
        <w:rPr>
          <w:lang w:val="fi-FI"/>
        </w:rPr>
        <w:t>oudellisesta tilannetta. Tietyt vaihtoehtoiset tunnusluvut, kuten vertailukelpoinen liiketulos ja nettovelkaantumisaste, ovat myös Wärtsilän taloudellisen tuloksen tavoitteita. Vaihtoehtoiset tunnusluvut antavat hyödyllistä tietoa pääomamarkkinoille.</w:t>
      </w:r>
    </w:p>
    <w:p w:rsidR="00EB0F80" w:rsidRPr="00C54FC6" w:rsidP="00EB0F80" w14:paraId="57510687" w14:textId="77777777">
      <w:pPr>
        <w:pStyle w:val="Bodytext2"/>
        <w:rPr>
          <w:lang w:val="fi-FI"/>
        </w:rPr>
      </w:pPr>
    </w:p>
    <w:p w:rsidR="00EB0F80" w:rsidRPr="00C54FC6" w:rsidP="00EB0F80" w14:paraId="19BA6D60" w14:textId="54A1CF1D">
      <w:pPr>
        <w:pStyle w:val="Bodytext2"/>
        <w:rPr>
          <w:lang w:val="fi-FI"/>
        </w:rPr>
      </w:pPr>
      <w:r w:rsidRPr="00C54FC6">
        <w:rPr>
          <w:lang w:val="fi-FI"/>
        </w:rPr>
        <w:t>Wärt</w:t>
      </w:r>
      <w:r w:rsidRPr="00C54FC6">
        <w:rPr>
          <w:lang w:val="fi-FI"/>
        </w:rPr>
        <w:t>silän esittämiä vaihtoehtoisia tunnuslukuja ei pidä tarkastella erillään IFRS-tunnusluvuista. Tunnuslukujen laskentakaavat ovat luettavissa osiossa Tunnuslukujen laskentakaavat.</w:t>
      </w:r>
    </w:p>
    <w:p w:rsidR="00EB0F80" w:rsidRPr="00C54FC6" w:rsidP="00EB0F80" w14:paraId="5E936D3D" w14:textId="58D2B7F7">
      <w:pPr>
        <w:pStyle w:val="Bodytext2"/>
        <w:rPr>
          <w:lang w:val="fi-FI"/>
        </w:rPr>
      </w:pPr>
    </w:p>
    <w:tbl>
      <w:tblPr>
        <w:tblStyle w:val="TableNormal"/>
        <w:tblCaption w:val="Table_five_years_in_figures"/>
        <w:tblW w:w="7275" w:type="dxa"/>
        <w:tblLayout w:type="fixed"/>
        <w:tblLook w:val="0600"/>
      </w:tblPr>
      <w:tblGrid>
        <w:gridCol w:w="3225"/>
        <w:gridCol w:w="375"/>
        <w:gridCol w:w="735"/>
        <w:gridCol w:w="735"/>
        <w:gridCol w:w="735"/>
        <w:gridCol w:w="735"/>
        <w:gridCol w:w="735"/>
      </w:tblGrid>
      <w:tr>
        <w:tblPrEx>
          <w:tblW w:w="7275" w:type="dxa"/>
          <w:tblLayout w:type="fixed"/>
          <w:tblLook w:val="0600"/>
        </w:tblPrEx>
        <w:trPr>
          <w:trHeight w:hRule="exact" w:val="240"/>
        </w:trPr>
        <w:tc>
          <w:tcPr>
            <w:tcW w:w="3225"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75" w:type="dxa"/>
            <w:tcBorders>
              <w:top w:val="nil"/>
              <w:left w:val="nil"/>
              <w:bottom w:val="nil"/>
              <w:right w:val="nil"/>
              <w:tl2br w:val="nil"/>
              <w:tr2bl w:val="nil"/>
            </w:tcBorders>
            <w:shd w:val="clear" w:color="auto" w:fill="auto"/>
            <w:noWrap/>
            <w:tcMar>
              <w:left w:w="0" w:type="dxa"/>
              <w:right w:w="0" w:type="dxa"/>
            </w:tcMar>
            <w:textDirection w:val="lrTb"/>
            <w:tcFitText w:val="0"/>
            <w:vAlign w:val="top"/>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35" w:type="dxa"/>
            <w:tcBorders>
              <w:top w:val="nil"/>
              <w:left w:val="nil"/>
              <w:bottom w:val="nil"/>
              <w:right w:val="nil"/>
              <w:tl2br w:val="nil"/>
              <w:tr2bl w:val="nil"/>
            </w:tcBorders>
            <w:shd w:val="clear" w:color="auto" w:fill="auto"/>
            <w:noWrap/>
            <w:tcMar>
              <w:left w:w="0" w:type="dxa"/>
              <w:right w:w="0" w:type="dxa"/>
            </w:tcMar>
            <w:textDirection w:val="lrTb"/>
            <w:tcFitText w:val="0"/>
            <w:vAlign w:val="top"/>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35"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nil"/>
              <w:left w:val="nil"/>
              <w:bottom w:val="nil"/>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Oikaistu</w:t>
            </w:r>
          </w:p>
        </w:tc>
        <w:tc>
          <w:tcPr>
            <w:tcW w:w="735"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375" w:type="dxa"/>
            <w:tcBorders>
              <w:top w:val="nil"/>
              <w:left w:val="nil"/>
              <w:bottom w:val="single" w:sz="8" w:space="0" w:color="0F172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3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73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73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2018</w:t>
            </w:r>
          </w:p>
        </w:tc>
        <w:tc>
          <w:tcPr>
            <w:tcW w:w="73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2017*</w:t>
            </w:r>
          </w:p>
        </w:tc>
        <w:tc>
          <w:tcPr>
            <w:tcW w:w="73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Liikevaihto</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4 604</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5 170</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5 174</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4 911</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4 801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josta Suomen ulkopuolella</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Vienti Suomesta</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1 702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1 933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2 145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1 953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1 804</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Henkilöstö keskimäärin</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18 307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19 110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18 899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17 866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18 332</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josta Suomessa</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3 706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3 868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3 766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3 521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3 482</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Tilauskanta</w:t>
            </w:r>
          </w:p>
        </w:tc>
        <w:tc>
          <w:tcPr>
            <w:tcW w:w="3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5 057</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5 878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6 166</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5 100</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4 696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Tietoja konsernin tuloslaskelmasta</w:t>
            </w:r>
          </w:p>
        </w:tc>
        <w:tc>
          <w:tcPr>
            <w:tcW w:w="37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Osuus osakkuus- ja yhteisyritysten tuloksista</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Vertailukelpoinen liiketulos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Liiketulos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532</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Vertailukelpoinen oikaistu EBITA</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12,9</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Rahoitustuotot ja -kulut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nil"/>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 ennen veroja</w:t>
            </w:r>
          </w:p>
        </w:tc>
        <w:tc>
          <w:tcPr>
            <w:tcW w:w="375"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191</w:t>
            </w:r>
          </w:p>
        </w:tc>
        <w:tc>
          <w:tcPr>
            <w:tcW w:w="73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315</w:t>
            </w:r>
          </w:p>
        </w:tc>
        <w:tc>
          <w:tcPr>
            <w:tcW w:w="73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502</w:t>
            </w:r>
          </w:p>
        </w:tc>
        <w:tc>
          <w:tcPr>
            <w:tcW w:w="73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491</w:t>
            </w:r>
          </w:p>
        </w:tc>
        <w:tc>
          <w:tcPr>
            <w:tcW w:w="73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479</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tulos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8" w:space="0" w:color="0F172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37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7,5</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7,6</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Tietoja konsernin taseesta</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 varat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2 427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2 518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2 369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2 285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2 116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 varat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3 706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3 797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3 690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3 363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3 275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Myytävänä olevat omaisuuserät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Emoyhtiön omistajille kuuluva oma pääoma</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2 177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2 396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2 418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2 352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2 288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Määräysvallattomien omistajien osuus</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1 327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1 096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629</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Korottomat velat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2 648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2 824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2 804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2 653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2 441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Myytävänä oleviin omaisuuseriin liittyvät velat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 pääoma ja velat yhteensä</w:t>
            </w:r>
          </w:p>
        </w:tc>
        <w:tc>
          <w:tcPr>
            <w:tcW w:w="3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6 232</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6 398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6 059</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5 648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5 391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Tietoja konsernin rahavirtalaskelmasta</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Liiketoiminnan rahavirta</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Investointien rahavirta</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Rahoituksen rahavirta</w:t>
            </w:r>
          </w:p>
        </w:tc>
        <w:tc>
          <w:tcPr>
            <w:tcW w:w="3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-256</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-339</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Bruttoinvestoinnit</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117</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122</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306</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255</w:t>
            </w:r>
          </w:p>
        </w:tc>
        <w:tc>
          <w:tcPr>
            <w:tcW w:w="73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Tutkimus- ja kehitysmenot</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225"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Osingonjako</w:t>
            </w:r>
          </w:p>
        </w:tc>
        <w:tc>
          <w:tcPr>
            <w:tcW w:w="3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118**</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272</w:t>
            </w:r>
          </w:p>
        </w:tc>
        <w:tc>
          <w:tcPr>
            <w:tcW w:w="73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Tunnuslukuja</w:t>
            </w:r>
          </w:p>
        </w:tc>
        <w:tc>
          <w:tcPr>
            <w:tcW w:w="3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3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Tulos/osake (EPS), laimentamaton ja laimennettu***</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0,23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0,37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0,65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0,63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0,60</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Osinko/osake***</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0,20**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0,48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0,48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0,46</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0,43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Osinko/tulos</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Korkokate</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Sijoitetun pääoman tuotto (ROI)</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17,1</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Oman pääoman tuotto (ROE)</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Omavaraisuusaste</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Nettovelkaantumisaste</w:t>
            </w:r>
          </w:p>
        </w:tc>
        <w:tc>
          <w:tcPr>
            <w:tcW w:w="3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0,18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0,30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0,14</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0,10</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0,07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 pääoma/osake</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3,68</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4,05</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4,09</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2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Nettokäyttöpääoma (WCAP)</w:t>
            </w:r>
          </w:p>
        </w:tc>
        <w:tc>
          <w:tcPr>
            <w:tcW w:w="37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73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257</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732</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581</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563</w:t>
            </w:r>
          </w:p>
        </w:tc>
        <w:tc>
          <w:tcPr>
            <w:tcW w:w="73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490</w:t>
            </w:r>
          </w:p>
        </w:tc>
      </w:tr>
    </w:tbl>
    <w:p w:rsidR="00EB0F80" w:rsidRPr="005E1EB3" w:rsidP="00EB0F80" w14:paraId="68816A06" w14:textId="28BA88EF">
      <w:pPr>
        <w:pStyle w:val="Bodytext2"/>
        <w:rPr>
          <w:lang w:val="fi-FI"/>
        </w:rPr>
      </w:pPr>
    </w:p>
    <w:p w:rsidR="00C54FC6" w:rsidRPr="00C54FC6" w:rsidP="00EB0F80" w14:paraId="1723F54B" w14:textId="18EA0095">
      <w:pPr>
        <w:pStyle w:val="Bodytext2"/>
        <w:rPr>
          <w:lang w:val="fi-FI"/>
        </w:rPr>
      </w:pPr>
      <w:r>
        <w:rPr>
          <w:lang w:val="fi-FI"/>
        </w:rPr>
        <w:t>Tunnusluvut sisältävät myytävänä oleviin om</w:t>
      </w:r>
      <w:r>
        <w:rPr>
          <w:lang w:val="fi-FI"/>
        </w:rPr>
        <w:t>aisuuseriin liittyvät varat ja velat.</w:t>
      </w:r>
    </w:p>
    <w:p w:rsidR="00EB0F80" w:rsidRPr="00EB0F80" w:rsidP="00EB0F80" w14:paraId="3767A28D" w14:textId="77777777">
      <w:pPr>
        <w:pStyle w:val="Bodytext2"/>
        <w:rPr>
          <w:lang w:val="fi-FI"/>
        </w:rPr>
      </w:pPr>
      <w:r w:rsidRPr="00EB0F80">
        <w:rPr>
          <w:lang w:val="fi-FI"/>
        </w:rPr>
        <w:t>* Vertailukauden 2017 luvut on oikaistu IFRS 15:n käyttöönoton seurauksena.</w:t>
      </w:r>
    </w:p>
    <w:p w:rsidR="00EB0F80" w:rsidRPr="00EB0F80" w:rsidP="00EB0F80" w14:paraId="1DD3BF1C" w14:textId="77777777">
      <w:pPr>
        <w:pStyle w:val="Bodytext2"/>
        <w:rPr>
          <w:lang w:val="fi-FI"/>
        </w:rPr>
      </w:pPr>
      <w:r w:rsidRPr="00EB0F80">
        <w:rPr>
          <w:lang w:val="fi-FI"/>
        </w:rPr>
        <w:t>** Hallituksen esitys.</w:t>
      </w:r>
    </w:p>
    <w:p w:rsidR="00EB0F80" w:rsidRPr="00C54FC6" w:rsidP="00EB0F80" w14:paraId="28C96739" w14:textId="40918387">
      <w:pPr>
        <w:pStyle w:val="Bodytext2"/>
        <w:rPr>
          <w:lang w:val="fi-FI"/>
        </w:rPr>
        <w:sectPr w:rsidSect="00FB76CE">
          <w:headerReference w:type="even" r:id="rId19"/>
          <w:headerReference w:type="default" r:id="rId20"/>
          <w:footerReference w:type="even" r:id="rId21"/>
          <w:footerReference w:type="default" r:id="rId22"/>
          <w:headerReference w:type="first" r:id="rId23"/>
          <w:footerReference w:type="first" r:id="rId24"/>
          <w:type w:val="continuous"/>
          <w:pgSz w:w="16838" w:h="11906" w:orient="landscape"/>
          <w:pgMar w:top="1814" w:right="737" w:bottom="1247" w:left="737" w:header="720" w:footer="720" w:gutter="0"/>
          <w:pgBorders w:zOrder="front" w:display="allPages" w:offsetFrom="text">
            <w:top w:val="nil"/>
            <w:left w:val="nil"/>
            <w:bottom w:val="nil"/>
            <w:right w:val="nil"/>
          </w:pgBorders>
          <w:cols w:num="2" w:space="624"/>
          <w:vAlign w:val="top"/>
          <w:titlePg w:val="0"/>
          <w:rtlGutter w:val="0"/>
          <w:docGrid w:linePitch="360"/>
        </w:sectPr>
      </w:pPr>
      <w:r w:rsidRPr="00EB0F80">
        <w:rPr>
          <w:lang w:val="fi-FI"/>
        </w:rPr>
        <w:t>*** Yhtiökokouksen 8.3.2018 hyväksymä maksuton osakeanti (osakkeiden splittaus) nosti osakkeiden kokonaismäärän 591.723</w:t>
      </w:r>
      <w:r w:rsidRPr="00EB0F80">
        <w:rPr>
          <w:lang w:val="fi-FI"/>
        </w:rPr>
        <w:t>.390:een. Vertailukausien luvut on oikaistu tämän mukaisesti.</w:t>
      </w:r>
    </w:p>
    <w:p w:rsidR="002642EE" w:rsidRPr="00A46417" w:rsidP="002642EE" w14:textId="3596973C">
      <w:pPr>
        <w:pStyle w:val="Heading10"/>
        <w:pageBreakBefore/>
        <w:rPr>
          <w:lang w:val="fi-FI"/>
        </w:rPr>
      </w:pPr>
      <w:bookmarkStart w:id="31" w:name="RG_MARKER_4731"/>
      <w:r w:rsidRPr="00A46417">
        <w:rPr>
          <w:lang w:val="fi-FI"/>
        </w:rPr>
        <w:t>KVARTAALITUNNUSLUKUJA</w:t>
      </w:r>
      <w:bookmarkEnd w:id="31"/>
    </w:p>
    <w:tbl>
      <w:tblPr>
        <w:tblStyle w:val="TableNormal"/>
        <w:tblCaption w:val="Table_quarterly_figures"/>
        <w:tblW w:w="15405" w:type="dxa"/>
        <w:tblLayout w:type="fixed"/>
        <w:tblLook w:val="0600"/>
      </w:tblPr>
      <w:tblGrid>
        <w:gridCol w:w="5280"/>
        <w:gridCol w:w="1125"/>
        <w:gridCol w:w="1125"/>
        <w:gridCol w:w="1125"/>
        <w:gridCol w:w="1125"/>
        <w:gridCol w:w="1125"/>
        <w:gridCol w:w="1125"/>
        <w:gridCol w:w="1125"/>
        <w:gridCol w:w="1125"/>
        <w:gridCol w:w="1125"/>
      </w:tblGrid>
      <w:tr>
        <w:tblPrEx>
          <w:tblW w:w="15405" w:type="dxa"/>
          <w:tblLayout w:type="fixed"/>
          <w:tblLook w:val="0600"/>
        </w:tblPrEx>
        <w:trPr>
          <w:trHeight w:hRule="exact" w:val="240"/>
        </w:trPr>
        <w:tc>
          <w:tcPr>
            <w:tcW w:w="52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12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10–12/2020</w:t>
            </w:r>
          </w:p>
        </w:tc>
        <w:tc>
          <w:tcPr>
            <w:tcW w:w="112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7–9/2020</w:t>
            </w:r>
          </w:p>
        </w:tc>
        <w:tc>
          <w:tcPr>
            <w:tcW w:w="112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4–6/2020</w:t>
            </w:r>
          </w:p>
        </w:tc>
        <w:tc>
          <w:tcPr>
            <w:tcW w:w="112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1–3/2020</w:t>
            </w:r>
          </w:p>
        </w:tc>
        <w:tc>
          <w:tcPr>
            <w:tcW w:w="11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10–12/2019</w:t>
            </w:r>
          </w:p>
        </w:tc>
        <w:tc>
          <w:tcPr>
            <w:tcW w:w="11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7–9/2019</w:t>
            </w:r>
          </w:p>
        </w:tc>
        <w:tc>
          <w:tcPr>
            <w:tcW w:w="11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4–6/2019</w:t>
            </w:r>
          </w:p>
        </w:tc>
        <w:tc>
          <w:tcPr>
            <w:tcW w:w="11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1–3/2019</w:t>
            </w:r>
          </w:p>
        </w:tc>
        <w:tc>
          <w:tcPr>
            <w:tcW w:w="11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10–12/2018</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Tilauskertymä</w:t>
            </w:r>
          </w:p>
        </w:tc>
        <w:tc>
          <w:tcPr>
            <w:tcW w:w="112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509</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258</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76</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Marine -liiketoiminta*</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1 031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843</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57</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83</w:t>
            </w:r>
          </w:p>
        </w:tc>
        <w:tc>
          <w:tcPr>
            <w:tcW w:w="112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1 118</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981</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1 011</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1 247</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1 555</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979</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1 377</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1 416</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1 874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Tilauskanta tilikauden lopussa**</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1 839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1 908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1 913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1 967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2 019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1 981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1 976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1 800</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872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1 051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1 232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1 377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1 471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1 516</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257</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Marine -liiketoiminta*</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3 651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1 830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1 865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1 939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2 087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2 014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2 023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2 120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2 043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2 515</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257</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331</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341</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338</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338</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361</w:t>
            </w:r>
          </w:p>
        </w:tc>
        <w:tc>
          <w:tcPr>
            <w:tcW w:w="112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5 057</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5 265</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5 401</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5 745</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5 878</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5 982</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6 157</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5 977</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6 166</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2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Liikevaihto</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443</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192</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Marine -liiketoiminta*</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831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112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28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1 220</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995</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1 220</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1 170</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1 684</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1 118</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1 217</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1 151</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1 532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2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Osuus osakkuus- ja yhteisyritysten tuloksista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Vertailukelpoinen oikaistu EBITA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237</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2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hankintamenojen allokointeihin liittyvät poistot</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2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Vertailukelpoinen liiketulos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226</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14,7</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Vertailukelpoisuuteen vaikuttavat erät yhteensä</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Liiketulos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206</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Rahoitustuotot ja -kulut</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 ennen veroja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153</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194</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Tuloverot</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tulos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153</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Tulos/osake (EPS), laimentamaton ja laimennettu, euroa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0,10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-0,01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0,25</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Bruttoinvestoinnit</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osakkeet ja yrityshankinnat</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Liiketoiminnan rahavirta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349</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2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Nettokäyttöpääoma (WCAP) tilikauden lopussa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660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870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581</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Henkilöstö tilikauden lopussa***</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8 355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8 412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8 674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8 934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8 820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8 962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9 005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8 881</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1 897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1 891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1 846</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1 862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1 870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1 828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1 887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1 882</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1 915</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1 946</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1 917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1 939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1 889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1 875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1 849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1 852</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Marine -liiketoiminta*</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13 582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4 888</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4 837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4 799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4 819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5 137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5 295</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5 449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5 513</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5 712</w:t>
            </w: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737</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1 097</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1 098</w:t>
            </w:r>
          </w:p>
        </w:tc>
        <w:tc>
          <w:tcPr>
            <w:tcW w:w="112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1 088</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1 080</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1 058</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1 050</w:t>
            </w:r>
          </w:p>
        </w:tc>
        <w:tc>
          <w:tcPr>
            <w:tcW w:w="1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1 096</w:t>
            </w:r>
          </w:p>
        </w:tc>
        <w:tc>
          <w:tcPr>
            <w:tcW w:w="112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2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17 792</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18 183</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18 334</w:t>
            </w:r>
          </w:p>
        </w:tc>
        <w:tc>
          <w:tcPr>
            <w:tcW w:w="112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18 642</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18 795</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19 018</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19 239</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19 225</w:t>
            </w:r>
          </w:p>
        </w:tc>
        <w:tc>
          <w:tcPr>
            <w:tcW w:w="1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19 294</w:t>
            </w:r>
          </w:p>
        </w:tc>
      </w:tr>
    </w:tbl>
    <w:p w:rsidR="002A4EF3" w:rsidRPr="00A46417" w:rsidP="002A4EF3" w14:paraId="1609F32E" w14:textId="16C2E3AF">
      <w:pPr>
        <w:pStyle w:val="Bodytext2"/>
        <w:rPr>
          <w:lang w:val="fi-FI"/>
        </w:rPr>
      </w:pPr>
    </w:p>
    <w:p w:rsidR="002A4EF3" w:rsidP="002A4EF3" w14:paraId="0AB49EDC" w14:textId="7EE07667">
      <w:pPr>
        <w:pStyle w:val="Bodytext2"/>
        <w:rPr>
          <w:lang w:val="fi-FI"/>
        </w:rPr>
      </w:pPr>
      <w:r w:rsidRPr="002A4EF3">
        <w:rPr>
          <w:lang w:val="fi-FI"/>
        </w:rPr>
        <w:t xml:space="preserve">* Vertailukauden 2018 segmenttiluvut on oikaistu vastaamaan sitä organisaatiorakennetta, joka oli käytössä vuonna 2019. Vertailukausien 2019 ja 1–3/2020 segmenttiluvut on oikaistu vastaamaan uutta </w:t>
      </w:r>
      <w:r w:rsidRPr="002A4EF3">
        <w:rPr>
          <w:lang w:val="fi-FI"/>
        </w:rPr>
        <w:t>organisaatiorakennetta</w:t>
      </w:r>
      <w:r>
        <w:rPr>
          <w:lang w:val="fi-FI"/>
        </w:rPr>
        <w:t>, joka tuli voimaan 1.7.2020</w:t>
      </w:r>
      <w:r w:rsidRPr="002A4EF3">
        <w:rPr>
          <w:lang w:val="fi-FI"/>
        </w:rPr>
        <w:t xml:space="preserve">. </w:t>
      </w:r>
    </w:p>
    <w:p w:rsidR="002A4EF3" w:rsidP="002A4EF3" w14:paraId="66E40CB2" w14:textId="77777777">
      <w:pPr>
        <w:pStyle w:val="Bodytext2"/>
        <w:rPr>
          <w:lang w:val="fi-FI"/>
        </w:rPr>
      </w:pPr>
      <w:r w:rsidRPr="002A4EF3">
        <w:rPr>
          <w:lang w:val="fi-FI"/>
        </w:rPr>
        <w:t>** Vuonna 2019 Wärtsilä kiristi uusien tilausten kirjaamisen edellytyksiä, minkä seurauksena tietyt projektit poistettiin Energy-liiketoiminnan tilauskannasta. Vuoden 2019 kolmen ensimmäisen vuosineljänn</w:t>
      </w:r>
      <w:r w:rsidRPr="002A4EF3">
        <w:rPr>
          <w:lang w:val="fi-FI"/>
        </w:rPr>
        <w:t xml:space="preserve">eksen tilauskanta on oikaistu vastaamaan tätä muutosta. </w:t>
      </w:r>
    </w:p>
    <w:p w:rsidR="002A4EF3" w:rsidP="002A4EF3" w14:paraId="04A61DB4" w14:textId="77777777">
      <w:pPr>
        <w:pStyle w:val="Bodytext2"/>
        <w:rPr>
          <w:lang w:val="fi-FI"/>
        </w:rPr>
        <w:sectPr w:rsidSect="00686BCB">
          <w:headerReference w:type="even" r:id="rId25"/>
          <w:headerReference w:type="default" r:id="rId26"/>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docGrid w:linePitch="360"/>
        </w:sectPr>
      </w:pPr>
      <w:r w:rsidRPr="002A4EF3">
        <w:rPr>
          <w:lang w:val="fi-FI"/>
        </w:rPr>
        <w:t>*** Vertailuluvut on oikaistu vastaamaan Portfolio Businessin kokoonpanoa ja muutosta allokointiperiaatteissa.</w:t>
      </w:r>
    </w:p>
    <w:p w:rsidR="002A4EF3" w:rsidRPr="002A4EF3" w:rsidP="002A4EF3" w14:paraId="4DA57E59" w14:textId="1CAF1ADC">
      <w:pPr>
        <w:pStyle w:val="Bodytext2"/>
        <w:rPr>
          <w:lang w:val="fi-FI"/>
        </w:rPr>
        <w:sectPr w:rsidSect="002A4EF3">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docGrid w:linePitch="360"/>
        </w:sectPr>
      </w:pPr>
      <w:r>
        <w:t xml:space="preserve"> </w:t>
      </w:r>
    </w:p>
    <w:p w:rsidR="00514B1C" w:rsidRPr="00514B1C" w:rsidP="00514B1C" w14:paraId="572155D5" w14:textId="7A629822">
      <w:pPr>
        <w:pStyle w:val="Heading10"/>
        <w:pageBreakBefore/>
        <w:rPr>
          <w:lang w:val="fi-FI"/>
        </w:rPr>
      </w:pPr>
      <w:bookmarkStart w:id="32" w:name="_Hlk42850006"/>
      <w:bookmarkStart w:id="33" w:name="RG_MARKER_4730"/>
      <w:r w:rsidRPr="00514B1C">
        <w:rPr>
          <w:lang w:val="fi-FI"/>
        </w:rPr>
        <w:t>TUNNUSLUKUJEN LASKENTAKAAVAT</w:t>
      </w:r>
      <w:bookmarkEnd w:id="33"/>
    </w:p>
    <w:p w:rsidR="00514B1C" w:rsidRPr="00514B1C" w:rsidP="00514B1C" w14:paraId="34E6A4CC" w14:textId="575EE602">
      <w:pPr>
        <w:pStyle w:val="Heading13"/>
        <w:rPr>
          <w:lang w:val="fi-FI"/>
        </w:rPr>
      </w:pPr>
      <w:bookmarkEnd w:id="32"/>
      <w:r w:rsidRPr="00514B1C">
        <w:rPr>
          <w:lang w:val="fi-FI"/>
        </w:rPr>
        <w:t>Liiketulos</w:t>
      </w:r>
    </w:p>
    <w:p w:rsidR="00514B1C" w:rsidP="00514B1C" w14:paraId="742F6093" w14:textId="77777777">
      <w:pPr>
        <w:pStyle w:val="Bodytext2"/>
        <w:rPr>
          <w:lang w:val="fi-FI"/>
        </w:rPr>
      </w:pPr>
      <w:r w:rsidRPr="00514B1C">
        <w:rPr>
          <w:lang w:val="fi-FI"/>
        </w:rPr>
        <w:t>Liikevaihto + liiketoiminnan muut tuotot – kulut – poistot ja arvonalentumiset +/– osuus osakkuus- ja yhteisyritysten tuloksista</w:t>
      </w:r>
    </w:p>
    <w:p w:rsidR="00514B1C" w:rsidRPr="00CF7968" w:rsidP="00514B1C" w14:paraId="14328AEC" w14:textId="77777777">
      <w:pPr>
        <w:pStyle w:val="Bodytext2"/>
        <w:rPr>
          <w:lang w:val="fi-FI"/>
        </w:rPr>
      </w:pPr>
    </w:p>
    <w:p w:rsidR="00514B1C" w:rsidRPr="00CF7968" w:rsidP="00514B1C" w14:paraId="720846D7" w14:textId="15598639">
      <w:pPr>
        <w:pStyle w:val="Heading13"/>
        <w:rPr>
          <w:lang w:val="fi-FI"/>
        </w:rPr>
      </w:pPr>
      <w:r w:rsidRPr="00CF7968">
        <w:rPr>
          <w:lang w:val="fi-FI"/>
        </w:rPr>
        <w:t>Tulos/osake (EPS), laimentamaton ja laimennettu</w:t>
      </w:r>
    </w:p>
    <w:tbl>
      <w:tblPr>
        <w:tblStyle w:val="TableGrid0"/>
        <w:tblW w:w="0" w:type="auto"/>
        <w:tblInd w:w="5" w:type="dxa"/>
        <w:tblLook w:val="04A0"/>
      </w:tblPr>
      <w:tblGrid>
        <w:gridCol w:w="7345"/>
        <w:gridCol w:w="20"/>
      </w:tblGrid>
      <w:tr w14:paraId="15F480C8" w14:textId="77777777" w:rsidTr="00514B1C">
        <w:tblPrEx>
          <w:tblW w:w="0" w:type="auto"/>
          <w:tblInd w:w="5" w:type="dxa"/>
          <w:tblLook w:val="04A0"/>
        </w:tblPrEx>
        <w:tc>
          <w:tcPr>
            <w:tcW w:w="7361" w:type="dxa"/>
            <w:tcBorders>
              <w:top w:val="nil"/>
              <w:left w:val="nil"/>
              <w:bottom w:val="single" w:sz="4" w:space="0" w:color="auto"/>
              <w:right w:val="nil"/>
            </w:tcBorders>
            <w:hideMark/>
          </w:tcPr>
          <w:p w:rsidR="00514B1C" w:rsidRPr="00CF7968" w14:paraId="42928E68" w14:textId="51E261DF">
            <w:pPr>
              <w:pStyle w:val="Bodytext2"/>
            </w:pPr>
            <w:r w:rsidRPr="00CF7968">
              <w:t xml:space="preserve">emoyhtiön </w:t>
            </w:r>
            <w:r w:rsidRPr="00CF7968">
              <w:t>osakkeenomistajille kuuluva tilikauden tulos</w:t>
            </w:r>
          </w:p>
        </w:tc>
        <w:tc>
          <w:tcPr>
            <w:tcW w:w="20" w:type="dxa"/>
            <w:vMerge w:val="restart"/>
            <w:vAlign w:val="center"/>
          </w:tcPr>
          <w:p w:rsidR="00514B1C" w:rsidRPr="00CF7968" w14:paraId="0B6DFFA1" w14:textId="77777777">
            <w:pPr>
              <w:pStyle w:val="Bodytext2"/>
            </w:pPr>
          </w:p>
        </w:tc>
      </w:tr>
      <w:tr w14:paraId="128690FD" w14:textId="77777777" w:rsidTr="00514B1C">
        <w:tblPrEx>
          <w:tblW w:w="0" w:type="auto"/>
          <w:tblInd w:w="5" w:type="dxa"/>
          <w:tblLook w:val="04A0"/>
        </w:tblPrEx>
        <w:tc>
          <w:tcPr>
            <w:tcW w:w="7361" w:type="dxa"/>
            <w:tcBorders>
              <w:top w:val="single" w:sz="4" w:space="0" w:color="auto"/>
              <w:left w:val="nil"/>
              <w:bottom w:val="nil"/>
              <w:right w:val="nil"/>
            </w:tcBorders>
            <w:hideMark/>
          </w:tcPr>
          <w:p w:rsidR="00514B1C" w:rsidRPr="00CF7968" w14:paraId="5FFD4276" w14:textId="7F0FCA7D">
            <w:pPr>
              <w:pStyle w:val="Bodytext2"/>
            </w:pPr>
            <w:r w:rsidRPr="00CF7968">
              <w:t>osakkeiden oikaistu lukumäärä keskimäärin tilikauden aikana</w:t>
            </w:r>
          </w:p>
        </w:tc>
        <w:tc>
          <w:tcPr>
            <w:tcW w:w="0" w:type="auto"/>
            <w:vMerge/>
            <w:vAlign w:val="center"/>
            <w:hideMark/>
          </w:tcPr>
          <w:p w:rsidR="00514B1C" w:rsidRPr="00CF7968" w14:paraId="11EB7F7D" w14:textId="77777777">
            <w:pPr>
              <w:spacing w:line="240" w:lineRule="auto"/>
              <w:rPr>
                <w:rFonts w:ascii="Arial" w:hAnsi="Arial" w:cs="Arial"/>
                <w:color w:val="111111"/>
                <w:sz w:val="15"/>
                <w:szCs w:val="17"/>
              </w:rPr>
            </w:pPr>
          </w:p>
        </w:tc>
      </w:tr>
    </w:tbl>
    <w:p w:rsidR="00514B1C" w:rsidRPr="00CF7968" w:rsidP="00514B1C" w14:paraId="4F7504B0" w14:textId="77777777">
      <w:pPr>
        <w:pStyle w:val="Bodytext2"/>
        <w:rPr>
          <w:rFonts w:asciiTheme="minorHAnsi" w:hAnsiTheme="minorHAnsi" w:cstheme="minorHAnsi"/>
          <w:lang w:val="fi-FI" w:eastAsia="fi-FI"/>
        </w:rPr>
      </w:pPr>
    </w:p>
    <w:p w:rsidR="00514B1C" w:rsidRPr="00514B1C" w:rsidP="00514B1C" w14:paraId="5741B86A" w14:textId="57C31B6F">
      <w:pPr>
        <w:pStyle w:val="Heading13"/>
        <w:rPr>
          <w:rFonts w:cstheme="minorBidi"/>
          <w:lang w:val="fi-FI"/>
        </w:rPr>
      </w:pPr>
      <w:r w:rsidRPr="00514B1C">
        <w:rPr>
          <w:lang w:val="fi-FI"/>
        </w:rPr>
        <w:t>Vertailukelpoisuuteen vaikuttavat erät</w:t>
      </w:r>
    </w:p>
    <w:p w:rsidR="00514B1C" w:rsidRPr="00514B1C" w:rsidP="00514B1C" w14:paraId="0F4CAA9B" w14:textId="3460737C">
      <w:pPr>
        <w:pStyle w:val="Bodytext2"/>
        <w:rPr>
          <w:lang w:val="fi-FI"/>
        </w:rPr>
      </w:pPr>
      <w:r>
        <w:rPr>
          <w:lang w:val="fi-FI"/>
        </w:rPr>
        <w:t xml:space="preserve">Tietyt </w:t>
      </w:r>
      <w:r w:rsidRPr="00514B1C">
        <w:rPr>
          <w:lang w:val="fi-FI"/>
        </w:rPr>
        <w:t>tuotot ja kulut esitetään vertailukelpoisuuteen vaikuttavina erinä kun niillä on merkittävä vaikutus konsernin tuloslaskelmaan. Vertailukelpoisuuteen vaikuttavat erät muodostuvat uudelleenjärjestelyistä johtuvista tuotoista ja kuluista, jotka tähtäävät kon</w:t>
      </w:r>
      <w:r w:rsidRPr="00514B1C">
        <w:rPr>
          <w:lang w:val="fi-FI"/>
        </w:rPr>
        <w:t>sernin toiminnan kapasiteetin sopeuttamiseen. Niihin voi sisältyä myös muita tavanomaisen liiketoiminnan ulkopuolella syntyneitä tuottoja ja kuluja, kuten arvonalentumisia, yrityshankintaan liittyviä kustannuksia, kolmansien osapuolten oikeudenkäynteihin l</w:t>
      </w:r>
      <w:r w:rsidRPr="00514B1C">
        <w:rPr>
          <w:lang w:val="fi-FI"/>
        </w:rPr>
        <w:t>iittyviä kirjattuja suorituksia tai aikaisemmin lopetettuihin liiketoimintoihin liittyviä ennakoimattomia velvoitteita</w:t>
      </w:r>
      <w:r>
        <w:rPr>
          <w:lang w:val="fi-FI"/>
        </w:rPr>
        <w:t>.</w:t>
      </w:r>
    </w:p>
    <w:p w:rsidR="00514B1C" w:rsidRPr="00514B1C" w:rsidP="00514B1C" w14:paraId="0B39A599" w14:textId="77777777">
      <w:pPr>
        <w:pStyle w:val="Bodytext2"/>
        <w:rPr>
          <w:lang w:val="fi-FI"/>
        </w:rPr>
      </w:pPr>
    </w:p>
    <w:p w:rsidR="00514B1C" w:rsidRPr="00CF7968" w:rsidP="00514B1C" w14:paraId="311ED6E9" w14:textId="77777777">
      <w:pPr>
        <w:pStyle w:val="Heading13"/>
        <w:rPr>
          <w:lang w:val="fi-FI"/>
        </w:rPr>
      </w:pPr>
      <w:r w:rsidRPr="00CF7968">
        <w:rPr>
          <w:lang w:val="fi-FI"/>
        </w:rPr>
        <w:t>Vertailukelpoinen liiketulos</w:t>
      </w:r>
    </w:p>
    <w:p w:rsidR="00514B1C" w:rsidRPr="00CF7968" w:rsidP="00514B1C" w14:paraId="3B75B590" w14:textId="08958EFD">
      <w:pPr>
        <w:pStyle w:val="Bodytext2"/>
        <w:rPr>
          <w:lang w:val="fi-FI"/>
        </w:rPr>
      </w:pPr>
      <w:r w:rsidRPr="00CF7968">
        <w:rPr>
          <w:lang w:val="fi-FI"/>
        </w:rPr>
        <w:t>liiketulos – vertailukelpoisuuteen vaikuttavat erät</w:t>
      </w:r>
    </w:p>
    <w:p w:rsidR="00514B1C" w:rsidRPr="00CF7968" w:rsidP="00514B1C" w14:paraId="2DC316F3" w14:textId="77777777">
      <w:pPr>
        <w:pStyle w:val="Bodytext2"/>
        <w:rPr>
          <w:lang w:val="fi-FI"/>
        </w:rPr>
      </w:pPr>
    </w:p>
    <w:p w:rsidR="00514B1C" w:rsidRPr="00514B1C" w:rsidP="00514B1C" w14:paraId="3054469D" w14:textId="6E4ED379">
      <w:pPr>
        <w:pStyle w:val="Heading13"/>
        <w:rPr>
          <w:lang w:val="fi-FI"/>
        </w:rPr>
      </w:pPr>
      <w:r w:rsidRPr="00514B1C">
        <w:rPr>
          <w:lang w:val="fi-FI"/>
        </w:rPr>
        <w:t>Vertailukelpoinen oikaistu EBITA</w:t>
      </w:r>
    </w:p>
    <w:p w:rsidR="00514B1C" w:rsidP="00514B1C" w14:paraId="3FAF6DDE" w14:textId="32D9D0D0">
      <w:pPr>
        <w:pStyle w:val="Bodytext2"/>
        <w:rPr>
          <w:lang w:val="fi-FI"/>
        </w:rPr>
      </w:pPr>
      <w:r w:rsidRPr="00514B1C">
        <w:rPr>
          <w:lang w:val="fi-FI"/>
        </w:rPr>
        <w:t>liiketulos – vertail</w:t>
      </w:r>
      <w:r w:rsidRPr="00514B1C">
        <w:rPr>
          <w:lang w:val="fi-FI"/>
        </w:rPr>
        <w:t>ukelpoisuuteen vaikuttavat erät – hankintamenojen allokointeihin liittyvät poistot</w:t>
      </w:r>
    </w:p>
    <w:p w:rsidR="00514B1C" w:rsidRPr="00514B1C" w:rsidP="00514B1C" w14:paraId="692C861D" w14:textId="77777777">
      <w:pPr>
        <w:pStyle w:val="Bodytext2"/>
        <w:rPr>
          <w:lang w:val="fi-FI"/>
        </w:rPr>
      </w:pPr>
    </w:p>
    <w:p w:rsidR="00514B1C" w:rsidRPr="0072798D" w:rsidP="00514B1C" w14:paraId="4816C25A" w14:textId="351AD78C">
      <w:pPr>
        <w:pStyle w:val="Heading13"/>
        <w:rPr>
          <w:lang w:val="fi-FI"/>
        </w:rPr>
      </w:pPr>
      <w:r w:rsidRPr="0072798D">
        <w:rPr>
          <w:lang w:val="fi-FI"/>
        </w:rPr>
        <w:t>Bruttoinvestoinnit</w:t>
      </w:r>
    </w:p>
    <w:p w:rsidR="00514B1C" w:rsidRPr="0072798D" w:rsidP="00514B1C" w14:paraId="2C2AD555" w14:textId="5199FACC">
      <w:pPr>
        <w:pStyle w:val="Bodytext2"/>
        <w:rPr>
          <w:lang w:val="fi-FI"/>
        </w:rPr>
      </w:pPr>
      <w:r>
        <w:rPr>
          <w:lang w:val="fi-FI"/>
        </w:rPr>
        <w:t>s</w:t>
      </w:r>
      <w:r w:rsidRPr="0072798D">
        <w:rPr>
          <w:lang w:val="fi-FI"/>
        </w:rPr>
        <w:t>ijoitukset osakkeisiin ja yrityshankintoihin + sijoitukset aineettomiin ja aineellisiin hyödykkeisiin</w:t>
      </w:r>
    </w:p>
    <w:p w:rsidR="00514B1C" w:rsidRPr="0072798D" w:rsidP="00514B1C" w14:paraId="0246E12B" w14:textId="77777777">
      <w:pPr>
        <w:pStyle w:val="Bodytext2"/>
        <w:rPr>
          <w:lang w:val="fi-FI"/>
        </w:rPr>
      </w:pPr>
    </w:p>
    <w:p w:rsidR="00514B1C" w:rsidRPr="0072798D" w:rsidP="00514B1C" w14:paraId="7438E671" w14:textId="7DA900F1">
      <w:pPr>
        <w:pStyle w:val="Heading13"/>
        <w:rPr>
          <w:lang w:val="fi-FI"/>
        </w:rPr>
      </w:pPr>
      <w:r w:rsidRPr="0072798D">
        <w:rPr>
          <w:lang w:val="fi-FI"/>
        </w:rPr>
        <w:t>Korolliset nettovelat</w:t>
      </w:r>
    </w:p>
    <w:p w:rsidR="00514B1C" w:rsidRPr="0072798D" w:rsidP="00514B1C" w14:paraId="45ED6341" w14:textId="54193D00">
      <w:pPr>
        <w:pStyle w:val="Bodytext2"/>
        <w:rPr>
          <w:lang w:val="fi-FI"/>
        </w:rPr>
      </w:pPr>
      <w:r>
        <w:rPr>
          <w:lang w:val="fi-FI"/>
        </w:rPr>
        <w:t>p</w:t>
      </w:r>
      <w:r w:rsidRPr="0072798D">
        <w:rPr>
          <w:lang w:val="fi-FI"/>
        </w:rPr>
        <w:t>itkä- ja lyhytaikaiset kor</w:t>
      </w:r>
      <w:r w:rsidRPr="0072798D">
        <w:rPr>
          <w:lang w:val="fi-FI"/>
        </w:rPr>
        <w:t>olliset velat + pitkä- ja lyhytaikaiset vuokrasopimusvelat – korolliset saamiset – rahavarat</w:t>
      </w:r>
    </w:p>
    <w:p w:rsidR="00514B1C" w:rsidRPr="0072798D" w:rsidP="00514B1C" w14:paraId="3F059C3D" w14:textId="77777777">
      <w:pPr>
        <w:pStyle w:val="Bodytext2"/>
        <w:rPr>
          <w:lang w:val="fi-FI"/>
        </w:rPr>
      </w:pPr>
    </w:p>
    <w:p w:rsidR="00514B1C" w:rsidRPr="0072798D" w:rsidP="00514B1C" w14:paraId="5547B204" w14:textId="273628F3">
      <w:pPr>
        <w:pStyle w:val="Heading13"/>
        <w:rPr>
          <w:lang w:val="fi-FI"/>
        </w:rPr>
      </w:pPr>
      <w:r w:rsidRPr="00CF7968">
        <w:rPr>
          <w:lang w:val="fi-FI"/>
        </w:rPr>
        <w:t>Oma pääoma/osake</w:t>
      </w:r>
    </w:p>
    <w:tbl>
      <w:tblPr>
        <w:tblStyle w:val="TableGrid0"/>
        <w:tblW w:w="0" w:type="auto"/>
        <w:tblInd w:w="5" w:type="dxa"/>
        <w:tblLook w:val="04A0"/>
      </w:tblPr>
      <w:tblGrid>
        <w:gridCol w:w="7345"/>
        <w:gridCol w:w="20"/>
      </w:tblGrid>
      <w:tr w14:paraId="7C49134B" w14:textId="77777777" w:rsidTr="00514B1C">
        <w:tblPrEx>
          <w:tblW w:w="0" w:type="auto"/>
          <w:tblInd w:w="5" w:type="dxa"/>
          <w:tblLook w:val="04A0"/>
        </w:tblPrEx>
        <w:tc>
          <w:tcPr>
            <w:tcW w:w="7361" w:type="dxa"/>
            <w:tcBorders>
              <w:top w:val="nil"/>
              <w:left w:val="nil"/>
              <w:bottom w:val="single" w:sz="4" w:space="0" w:color="auto"/>
              <w:right w:val="nil"/>
            </w:tcBorders>
            <w:hideMark/>
          </w:tcPr>
          <w:p w:rsidR="00514B1C" w:rsidRPr="00CF7968" w14:paraId="3A8525D6" w14:textId="55F9DB0B">
            <w:pPr>
              <w:pStyle w:val="Bodytext2"/>
            </w:pPr>
            <w:r w:rsidRPr="00CF7968">
              <w:t>emoyhtiön osakkeenomistajille kuuluva oma pääoma</w:t>
            </w:r>
          </w:p>
        </w:tc>
        <w:tc>
          <w:tcPr>
            <w:tcW w:w="20" w:type="dxa"/>
            <w:vMerge w:val="restart"/>
            <w:vAlign w:val="center"/>
          </w:tcPr>
          <w:p w:rsidR="00514B1C" w:rsidRPr="00CF7968" w14:paraId="2109492D" w14:textId="77777777">
            <w:pPr>
              <w:pStyle w:val="Bodytext2"/>
            </w:pPr>
          </w:p>
        </w:tc>
      </w:tr>
      <w:tr w14:paraId="7DA4B283" w14:textId="77777777" w:rsidTr="00514B1C">
        <w:tblPrEx>
          <w:tblW w:w="0" w:type="auto"/>
          <w:tblInd w:w="5" w:type="dxa"/>
          <w:tblLook w:val="04A0"/>
        </w:tblPrEx>
        <w:tc>
          <w:tcPr>
            <w:tcW w:w="7361" w:type="dxa"/>
            <w:tcBorders>
              <w:top w:val="single" w:sz="4" w:space="0" w:color="auto"/>
              <w:left w:val="nil"/>
              <w:bottom w:val="nil"/>
              <w:right w:val="nil"/>
            </w:tcBorders>
            <w:hideMark/>
          </w:tcPr>
          <w:p w:rsidR="00514B1C" w:rsidRPr="00CF7968" w14:paraId="1A761D2F" w14:textId="511693F0">
            <w:pPr>
              <w:pStyle w:val="Bodytext2"/>
            </w:pPr>
            <w:r w:rsidRPr="00CF7968">
              <w:t>osakkeiden oikaistu lukumäärä tilikauden lopussa</w:t>
            </w:r>
          </w:p>
        </w:tc>
        <w:tc>
          <w:tcPr>
            <w:tcW w:w="0" w:type="auto"/>
            <w:vMerge/>
            <w:vAlign w:val="center"/>
            <w:hideMark/>
          </w:tcPr>
          <w:p w:rsidR="00514B1C" w:rsidRPr="00CF7968" w14:paraId="404A4E25" w14:textId="77777777">
            <w:pPr>
              <w:spacing w:line="240" w:lineRule="auto"/>
              <w:rPr>
                <w:rFonts w:ascii="Arial" w:hAnsi="Arial" w:cs="Arial"/>
                <w:color w:val="111111"/>
                <w:sz w:val="15"/>
                <w:szCs w:val="17"/>
              </w:rPr>
            </w:pPr>
          </w:p>
        </w:tc>
      </w:tr>
    </w:tbl>
    <w:p w:rsidR="00514B1C" w:rsidRPr="00CF7968" w:rsidP="00514B1C" w14:paraId="326139F6" w14:textId="77777777">
      <w:pPr>
        <w:pStyle w:val="Bodytext2"/>
        <w:rPr>
          <w:rFonts w:asciiTheme="minorHAnsi" w:hAnsiTheme="minorHAnsi" w:cstheme="minorHAnsi"/>
          <w:lang w:val="fi-FI" w:eastAsia="fi-FI"/>
        </w:rPr>
      </w:pPr>
    </w:p>
    <w:p w:rsidR="00514B1C" w:rsidP="00514B1C" w14:paraId="56F95B45" w14:textId="1FAF87B1">
      <w:pPr>
        <w:pStyle w:val="Heading13"/>
        <w:rPr>
          <w:rFonts w:cstheme="minorBidi"/>
        </w:rPr>
      </w:pPr>
      <w:r>
        <w:t>Omavaraisuusaste</w:t>
      </w:r>
    </w:p>
    <w:tbl>
      <w:tblPr>
        <w:tblStyle w:val="TableGrid0"/>
        <w:tblW w:w="0" w:type="auto"/>
        <w:tblInd w:w="5" w:type="dxa"/>
        <w:tblLook w:val="04A0"/>
      </w:tblPr>
      <w:tblGrid>
        <w:gridCol w:w="6799"/>
        <w:gridCol w:w="562"/>
      </w:tblGrid>
      <w:tr w14:paraId="27E5F2D0" w14:textId="77777777" w:rsidTr="00514B1C">
        <w:tblPrEx>
          <w:tblW w:w="0" w:type="auto"/>
          <w:tblInd w:w="5" w:type="dxa"/>
          <w:tblLook w:val="04A0"/>
        </w:tblPrEx>
        <w:tc>
          <w:tcPr>
            <w:tcW w:w="6799" w:type="dxa"/>
            <w:tcBorders>
              <w:top w:val="nil"/>
              <w:left w:val="nil"/>
              <w:bottom w:val="single" w:sz="4" w:space="0" w:color="auto"/>
              <w:right w:val="nil"/>
            </w:tcBorders>
            <w:hideMark/>
          </w:tcPr>
          <w:p w:rsidR="00514B1C" w14:paraId="372F5C27" w14:textId="2893E085">
            <w:pPr>
              <w:pStyle w:val="Bodytext2"/>
            </w:pPr>
            <w:r>
              <w:t>oma pääoma</w:t>
            </w:r>
          </w:p>
        </w:tc>
        <w:tc>
          <w:tcPr>
            <w:tcW w:w="562" w:type="dxa"/>
            <w:vMerge w:val="restart"/>
            <w:vAlign w:val="center"/>
            <w:hideMark/>
          </w:tcPr>
          <w:p w:rsidR="00514B1C" w14:paraId="2EEF2833" w14:textId="77777777">
            <w:pPr>
              <w:pStyle w:val="Bodytext2"/>
            </w:pPr>
            <w:r>
              <w:t xml:space="preserve">   x 100</w:t>
            </w:r>
          </w:p>
        </w:tc>
      </w:tr>
      <w:tr w14:paraId="1D510684" w14:textId="77777777" w:rsidTr="00514B1C">
        <w:tblPrEx>
          <w:tblW w:w="0" w:type="auto"/>
          <w:tblInd w:w="5" w:type="dxa"/>
          <w:tblLook w:val="04A0"/>
        </w:tblPrEx>
        <w:tc>
          <w:tcPr>
            <w:tcW w:w="6799" w:type="dxa"/>
            <w:tcBorders>
              <w:top w:val="single" w:sz="4" w:space="0" w:color="auto"/>
              <w:left w:val="nil"/>
              <w:bottom w:val="nil"/>
              <w:right w:val="nil"/>
            </w:tcBorders>
            <w:hideMark/>
          </w:tcPr>
          <w:p w:rsidR="00514B1C" w:rsidRPr="0072798D" w14:paraId="3BA0D793" w14:textId="3FB02CD7">
            <w:pPr>
              <w:pStyle w:val="Bodytext2"/>
            </w:pPr>
            <w:r w:rsidRPr="0072798D">
              <w:t>oma pääoma ja velat – saadut ennakkomaksut</w:t>
            </w:r>
          </w:p>
        </w:tc>
        <w:tc>
          <w:tcPr>
            <w:tcW w:w="0" w:type="auto"/>
            <w:vMerge/>
            <w:vAlign w:val="center"/>
            <w:hideMark/>
          </w:tcPr>
          <w:p w:rsidR="00514B1C" w:rsidRPr="0072798D" w14:paraId="247AFD38" w14:textId="77777777">
            <w:pPr>
              <w:spacing w:line="240" w:lineRule="auto"/>
              <w:rPr>
                <w:rFonts w:ascii="Arial" w:hAnsi="Arial" w:cs="Arial"/>
                <w:color w:val="111111"/>
                <w:sz w:val="15"/>
                <w:szCs w:val="17"/>
              </w:rPr>
            </w:pPr>
          </w:p>
        </w:tc>
      </w:tr>
    </w:tbl>
    <w:p w:rsidR="00514B1C" w:rsidRPr="0072798D" w:rsidP="00514B1C" w14:paraId="4873C022" w14:textId="77777777">
      <w:pPr>
        <w:pStyle w:val="Bodytext2"/>
        <w:rPr>
          <w:rFonts w:asciiTheme="minorHAnsi" w:hAnsiTheme="minorHAnsi" w:cstheme="minorHAnsi"/>
          <w:lang w:val="fi-FI" w:eastAsia="fi-FI"/>
        </w:rPr>
      </w:pPr>
    </w:p>
    <w:p w:rsidR="00514B1C" w:rsidP="00514B1C" w14:paraId="1B9EAB73" w14:textId="0E9D99C0">
      <w:pPr>
        <w:pStyle w:val="Heading13"/>
        <w:rPr>
          <w:rFonts w:cstheme="minorBidi"/>
        </w:rPr>
      </w:pPr>
      <w:r>
        <w:t>Nettovelkaantumisaste</w:t>
      </w:r>
    </w:p>
    <w:tbl>
      <w:tblPr>
        <w:tblStyle w:val="TableGrid0"/>
        <w:tblW w:w="0" w:type="auto"/>
        <w:tblInd w:w="5" w:type="dxa"/>
        <w:tblLook w:val="04A0"/>
      </w:tblPr>
      <w:tblGrid>
        <w:gridCol w:w="7345"/>
        <w:gridCol w:w="20"/>
      </w:tblGrid>
      <w:tr w14:paraId="5D0BCC4F" w14:textId="77777777" w:rsidTr="00514B1C">
        <w:tblPrEx>
          <w:tblW w:w="0" w:type="auto"/>
          <w:tblInd w:w="5" w:type="dxa"/>
          <w:tblLook w:val="04A0"/>
        </w:tblPrEx>
        <w:tc>
          <w:tcPr>
            <w:tcW w:w="7361" w:type="dxa"/>
            <w:tcBorders>
              <w:top w:val="nil"/>
              <w:left w:val="nil"/>
              <w:bottom w:val="single" w:sz="4" w:space="0" w:color="auto"/>
              <w:right w:val="nil"/>
            </w:tcBorders>
            <w:hideMark/>
          </w:tcPr>
          <w:p w:rsidR="00514B1C" w14:paraId="31241F1D" w14:textId="170A95CA">
            <w:pPr>
              <w:pStyle w:val="Bodytext2"/>
              <w:rPr>
                <w:lang w:val="en-GB"/>
              </w:rPr>
            </w:pPr>
            <w:r w:rsidRPr="0072798D">
              <w:rPr>
                <w:lang w:val="en-GB"/>
              </w:rPr>
              <w:t>korolliset</w:t>
            </w:r>
            <w:r w:rsidRPr="0072798D">
              <w:rPr>
                <w:lang w:val="en-GB"/>
              </w:rPr>
              <w:t xml:space="preserve"> </w:t>
            </w:r>
            <w:r w:rsidRPr="0072798D">
              <w:rPr>
                <w:lang w:val="en-GB"/>
              </w:rPr>
              <w:t>velat</w:t>
            </w:r>
            <w:r w:rsidRPr="0072798D">
              <w:rPr>
                <w:lang w:val="en-GB"/>
              </w:rPr>
              <w:t xml:space="preserve"> – </w:t>
            </w:r>
            <w:r w:rsidRPr="0072798D">
              <w:rPr>
                <w:lang w:val="en-GB"/>
              </w:rPr>
              <w:t>rahavarat</w:t>
            </w:r>
          </w:p>
        </w:tc>
        <w:tc>
          <w:tcPr>
            <w:tcW w:w="20" w:type="dxa"/>
            <w:vMerge w:val="restart"/>
            <w:vAlign w:val="center"/>
          </w:tcPr>
          <w:p w:rsidR="00514B1C" w14:paraId="51CA6830" w14:textId="77777777">
            <w:pPr>
              <w:pStyle w:val="Bodytext2"/>
              <w:rPr>
                <w:lang w:val="en-GB"/>
              </w:rPr>
            </w:pPr>
          </w:p>
        </w:tc>
      </w:tr>
      <w:tr w14:paraId="2943B122" w14:textId="77777777" w:rsidTr="00514B1C">
        <w:tblPrEx>
          <w:tblW w:w="0" w:type="auto"/>
          <w:tblInd w:w="5" w:type="dxa"/>
          <w:tblLook w:val="04A0"/>
        </w:tblPrEx>
        <w:tc>
          <w:tcPr>
            <w:tcW w:w="7361" w:type="dxa"/>
            <w:tcBorders>
              <w:top w:val="single" w:sz="4" w:space="0" w:color="auto"/>
              <w:left w:val="nil"/>
              <w:bottom w:val="nil"/>
              <w:right w:val="nil"/>
            </w:tcBorders>
            <w:hideMark/>
          </w:tcPr>
          <w:p w:rsidR="00514B1C" w14:paraId="28A9C87E" w14:textId="7514A211">
            <w:pPr>
              <w:pStyle w:val="Bodytext2"/>
            </w:pPr>
            <w:r w:rsidRPr="00D12CB9">
              <w:t>oma pääoma</w:t>
            </w:r>
          </w:p>
        </w:tc>
        <w:tc>
          <w:tcPr>
            <w:tcW w:w="0" w:type="auto"/>
            <w:vMerge/>
            <w:vAlign w:val="center"/>
            <w:hideMark/>
          </w:tcPr>
          <w:p w:rsidR="00514B1C" w14:paraId="147D62CB" w14:textId="77777777">
            <w:pPr>
              <w:spacing w:line="240" w:lineRule="auto"/>
              <w:rPr>
                <w:rFonts w:ascii="Arial" w:hAnsi="Arial" w:cs="Arial"/>
                <w:color w:val="111111"/>
                <w:sz w:val="15"/>
                <w:szCs w:val="17"/>
                <w:lang w:val="en-GB"/>
              </w:rPr>
            </w:pPr>
          </w:p>
        </w:tc>
      </w:tr>
    </w:tbl>
    <w:p w:rsidR="00514B1C" w:rsidP="00514B1C" w14:paraId="24EF1F59" w14:textId="77777777">
      <w:pPr>
        <w:pStyle w:val="Heading13"/>
        <w:rPr>
          <w:rFonts w:cstheme="minorBidi"/>
        </w:rPr>
      </w:pPr>
    </w:p>
    <w:p w:rsidR="00514B1C" w:rsidP="00514B1C" w14:paraId="04926371" w14:textId="39B32CD7">
      <w:pPr>
        <w:pStyle w:val="Heading13"/>
        <w:rPr>
          <w:rFonts w:asciiTheme="minorHAnsi" w:hAnsiTheme="minorHAnsi" w:cstheme="minorHAnsi"/>
          <w:lang w:eastAsia="fi-FI"/>
        </w:rPr>
      </w:pPr>
      <w:r>
        <w:t>S</w:t>
      </w:r>
      <w:r w:rsidRPr="0072798D">
        <w:t>ijoitetun</w:t>
      </w:r>
      <w:r w:rsidRPr="0072798D">
        <w:t xml:space="preserve"> </w:t>
      </w:r>
      <w:r w:rsidRPr="0072798D">
        <w:t>pääoman</w:t>
      </w:r>
      <w:r w:rsidRPr="0072798D">
        <w:t xml:space="preserve"> </w:t>
      </w:r>
      <w:r w:rsidRPr="0072798D">
        <w:t>tuotto</w:t>
      </w:r>
      <w:r w:rsidRPr="0072798D">
        <w:t xml:space="preserve"> (ROI</w:t>
      </w:r>
      <w:r>
        <w:t>)</w:t>
      </w:r>
    </w:p>
    <w:tbl>
      <w:tblPr>
        <w:tblStyle w:val="TableGrid0"/>
        <w:tblW w:w="0" w:type="auto"/>
        <w:tblInd w:w="5" w:type="dxa"/>
        <w:tblLook w:val="04A0"/>
      </w:tblPr>
      <w:tblGrid>
        <w:gridCol w:w="6799"/>
        <w:gridCol w:w="562"/>
      </w:tblGrid>
      <w:tr w14:paraId="1FAE10F5" w14:textId="77777777" w:rsidTr="00514B1C">
        <w:tblPrEx>
          <w:tblW w:w="0" w:type="auto"/>
          <w:tblInd w:w="5" w:type="dxa"/>
          <w:tblLook w:val="04A0"/>
        </w:tblPrEx>
        <w:tc>
          <w:tcPr>
            <w:tcW w:w="6799" w:type="dxa"/>
            <w:tcBorders>
              <w:top w:val="nil"/>
              <w:left w:val="nil"/>
              <w:bottom w:val="single" w:sz="4" w:space="0" w:color="auto"/>
              <w:right w:val="nil"/>
            </w:tcBorders>
            <w:hideMark/>
          </w:tcPr>
          <w:p w:rsidR="00514B1C" w:rsidRPr="0072798D" w14:paraId="7EFD8BD0" w14:textId="04F3CBCF">
            <w:pPr>
              <w:pStyle w:val="Bodytext2"/>
            </w:pPr>
            <w:r w:rsidRPr="0072798D">
              <w:t>tulos ennen veroja + korko- ja muut rahoituskulut</w:t>
            </w:r>
          </w:p>
        </w:tc>
        <w:tc>
          <w:tcPr>
            <w:tcW w:w="562" w:type="dxa"/>
            <w:vMerge w:val="restart"/>
            <w:vAlign w:val="center"/>
            <w:hideMark/>
          </w:tcPr>
          <w:p w:rsidR="00514B1C" w14:paraId="5FE99961" w14:textId="77777777">
            <w:pPr>
              <w:pStyle w:val="Bodytext2"/>
            </w:pPr>
            <w:r w:rsidRPr="0072798D">
              <w:t xml:space="preserve">   </w:t>
            </w:r>
            <w:r>
              <w:t>x 100</w:t>
            </w:r>
          </w:p>
        </w:tc>
      </w:tr>
      <w:tr w14:paraId="0DD6B763" w14:textId="77777777" w:rsidTr="00514B1C">
        <w:tblPrEx>
          <w:tblW w:w="0" w:type="auto"/>
          <w:tblInd w:w="5" w:type="dxa"/>
          <w:tblLook w:val="04A0"/>
        </w:tblPrEx>
        <w:tc>
          <w:tcPr>
            <w:tcW w:w="6799" w:type="dxa"/>
            <w:tcBorders>
              <w:top w:val="single" w:sz="4" w:space="0" w:color="auto"/>
              <w:left w:val="nil"/>
              <w:bottom w:val="nil"/>
              <w:right w:val="nil"/>
            </w:tcBorders>
            <w:hideMark/>
          </w:tcPr>
          <w:p w:rsidR="00514B1C" w:rsidRPr="0072798D" w14:paraId="73CD3E00" w14:textId="4074E7C2">
            <w:pPr>
              <w:pStyle w:val="Bodytext2"/>
            </w:pPr>
            <w:r w:rsidRPr="0072798D">
              <w:t xml:space="preserve">oma pääoma ja velat – </w:t>
            </w:r>
            <w:r w:rsidRPr="0072798D">
              <w:t>korottomat velat – varaukset, keskimäärin tilikauden aikana</w:t>
            </w:r>
          </w:p>
        </w:tc>
        <w:tc>
          <w:tcPr>
            <w:tcW w:w="0" w:type="auto"/>
            <w:vMerge/>
            <w:vAlign w:val="center"/>
            <w:hideMark/>
          </w:tcPr>
          <w:p w:rsidR="00514B1C" w:rsidRPr="0072798D" w14:paraId="23D06C47" w14:textId="77777777">
            <w:pPr>
              <w:spacing w:line="240" w:lineRule="auto"/>
              <w:rPr>
                <w:rFonts w:ascii="Arial" w:hAnsi="Arial" w:cs="Arial"/>
                <w:color w:val="111111"/>
                <w:sz w:val="15"/>
                <w:szCs w:val="17"/>
              </w:rPr>
            </w:pPr>
          </w:p>
        </w:tc>
      </w:tr>
    </w:tbl>
    <w:p w:rsidR="00514B1C" w:rsidRPr="0072798D" w:rsidP="00514B1C" w14:paraId="01461168" w14:textId="77777777">
      <w:pPr>
        <w:pStyle w:val="Bodytext2"/>
        <w:rPr>
          <w:rFonts w:asciiTheme="minorHAnsi" w:hAnsiTheme="minorHAnsi" w:cstheme="minorHAnsi"/>
          <w:lang w:val="fi-FI" w:eastAsia="fi-FI"/>
        </w:rPr>
      </w:pPr>
    </w:p>
    <w:p w:rsidR="00514B1C" w:rsidP="00514B1C" w14:paraId="78167E59" w14:textId="368D10F1">
      <w:pPr>
        <w:pStyle w:val="Heading13"/>
        <w:rPr>
          <w:rFonts w:cstheme="minorBidi"/>
        </w:rPr>
      </w:pPr>
      <w:r>
        <w:t xml:space="preserve">Oman </w:t>
      </w:r>
      <w:r>
        <w:t>pääoman</w:t>
      </w:r>
      <w:r>
        <w:t xml:space="preserve"> </w:t>
      </w:r>
      <w:r>
        <w:t>tuotto</w:t>
      </w:r>
      <w:r>
        <w:t xml:space="preserve"> (ROE)</w:t>
      </w:r>
    </w:p>
    <w:tbl>
      <w:tblPr>
        <w:tblStyle w:val="TableGrid0"/>
        <w:tblW w:w="0" w:type="auto"/>
        <w:tblInd w:w="5" w:type="dxa"/>
        <w:tblLook w:val="04A0"/>
      </w:tblPr>
      <w:tblGrid>
        <w:gridCol w:w="6799"/>
        <w:gridCol w:w="562"/>
      </w:tblGrid>
      <w:tr w14:paraId="31539CDF" w14:textId="77777777" w:rsidTr="00514B1C">
        <w:tblPrEx>
          <w:tblW w:w="0" w:type="auto"/>
          <w:tblInd w:w="5" w:type="dxa"/>
          <w:tblLook w:val="04A0"/>
        </w:tblPrEx>
        <w:tc>
          <w:tcPr>
            <w:tcW w:w="6799" w:type="dxa"/>
            <w:tcBorders>
              <w:top w:val="nil"/>
              <w:left w:val="nil"/>
              <w:bottom w:val="single" w:sz="4" w:space="0" w:color="auto"/>
              <w:right w:val="nil"/>
            </w:tcBorders>
            <w:hideMark/>
          </w:tcPr>
          <w:p w:rsidR="00514B1C" w14:paraId="11FA05AF" w14:textId="67E153CE">
            <w:pPr>
              <w:pStyle w:val="Bodytext2"/>
              <w:rPr>
                <w:lang w:val="en-GB"/>
              </w:rPr>
            </w:pPr>
            <w:r>
              <w:rPr>
                <w:lang w:val="en-GB"/>
              </w:rPr>
              <w:t>tilikauden</w:t>
            </w:r>
            <w:r>
              <w:rPr>
                <w:lang w:val="en-GB"/>
              </w:rPr>
              <w:t xml:space="preserve"> </w:t>
            </w:r>
            <w:r>
              <w:rPr>
                <w:lang w:val="en-GB"/>
              </w:rPr>
              <w:t>tulos</w:t>
            </w:r>
          </w:p>
        </w:tc>
        <w:tc>
          <w:tcPr>
            <w:tcW w:w="562" w:type="dxa"/>
            <w:vMerge w:val="restart"/>
            <w:vAlign w:val="center"/>
            <w:hideMark/>
          </w:tcPr>
          <w:p w:rsidR="00514B1C" w14:paraId="3FB8D86D" w14:textId="77777777">
            <w:pPr>
              <w:pStyle w:val="Bodytext2"/>
            </w:pPr>
            <w:r>
              <w:rPr>
                <w:lang w:val="en-GB"/>
              </w:rPr>
              <w:t xml:space="preserve">   </w:t>
            </w:r>
            <w:r>
              <w:t>x 100</w:t>
            </w:r>
          </w:p>
        </w:tc>
      </w:tr>
      <w:tr w14:paraId="17E6D433" w14:textId="77777777" w:rsidTr="00514B1C">
        <w:tblPrEx>
          <w:tblW w:w="0" w:type="auto"/>
          <w:tblInd w:w="5" w:type="dxa"/>
          <w:tblLook w:val="04A0"/>
        </w:tblPrEx>
        <w:tc>
          <w:tcPr>
            <w:tcW w:w="6799" w:type="dxa"/>
            <w:tcBorders>
              <w:top w:val="single" w:sz="4" w:space="0" w:color="auto"/>
              <w:left w:val="nil"/>
              <w:bottom w:val="nil"/>
              <w:right w:val="nil"/>
            </w:tcBorders>
            <w:hideMark/>
          </w:tcPr>
          <w:p w:rsidR="00514B1C" w:rsidRPr="0072798D" w14:paraId="6FB5F797" w14:textId="2855CD37">
            <w:pPr>
              <w:pStyle w:val="Bodytext2"/>
            </w:pPr>
            <w:r w:rsidRPr="0072798D">
              <w:t>oma pääoma, keskimäärin tilikauden aikana</w:t>
            </w:r>
          </w:p>
        </w:tc>
        <w:tc>
          <w:tcPr>
            <w:tcW w:w="0" w:type="auto"/>
            <w:vMerge/>
            <w:vAlign w:val="center"/>
            <w:hideMark/>
          </w:tcPr>
          <w:p w:rsidR="00514B1C" w:rsidRPr="0072798D" w14:paraId="32E8613B" w14:textId="77777777">
            <w:pPr>
              <w:spacing w:line="240" w:lineRule="auto"/>
              <w:rPr>
                <w:rFonts w:ascii="Arial" w:hAnsi="Arial" w:cs="Arial"/>
                <w:color w:val="111111"/>
                <w:sz w:val="15"/>
                <w:szCs w:val="17"/>
              </w:rPr>
            </w:pPr>
          </w:p>
        </w:tc>
      </w:tr>
    </w:tbl>
    <w:p w:rsidR="00514B1C" w:rsidRPr="0072798D" w:rsidP="00514B1C" w14:paraId="0D67721C" w14:textId="77777777">
      <w:pPr>
        <w:pStyle w:val="Bodytext2"/>
        <w:rPr>
          <w:rFonts w:asciiTheme="minorHAnsi" w:hAnsiTheme="minorHAnsi" w:cstheme="minorHAnsi"/>
          <w:lang w:val="fi-FI" w:eastAsia="fi-FI"/>
        </w:rPr>
      </w:pPr>
    </w:p>
    <w:p w:rsidR="00514B1C" w:rsidRPr="00CF7968" w:rsidP="00514B1C" w14:paraId="54915DE2" w14:textId="17F4C5B4">
      <w:pPr>
        <w:pStyle w:val="Heading13"/>
        <w:rPr>
          <w:rFonts w:cstheme="minorBidi"/>
          <w:lang w:val="fi-FI"/>
        </w:rPr>
      </w:pPr>
      <w:r w:rsidRPr="00CF7968">
        <w:rPr>
          <w:lang w:val="fi-FI"/>
        </w:rPr>
        <w:t>Tilauskertymä</w:t>
      </w:r>
    </w:p>
    <w:p w:rsidR="00514B1C" w:rsidRPr="00514B1C" w:rsidP="00514B1C" w14:paraId="67CB8C67" w14:textId="79C4F618">
      <w:pPr>
        <w:pStyle w:val="Bodytext2"/>
        <w:rPr>
          <w:lang w:val="fi-FI"/>
        </w:rPr>
      </w:pPr>
      <w:r w:rsidRPr="00514B1C">
        <w:rPr>
          <w:lang w:val="fi-FI"/>
        </w:rPr>
        <w:t xml:space="preserve">Tilikauden aikana vastaanotettujen tilausten kokonaismäärä, jotka </w:t>
      </w:r>
      <w:r w:rsidRPr="00514B1C">
        <w:rPr>
          <w:lang w:val="fi-FI"/>
        </w:rPr>
        <w:t>toimitetaan joko kuluvana tilikautena tai sen jälkeen.</w:t>
      </w:r>
    </w:p>
    <w:p w:rsidR="00514B1C" w:rsidRPr="00514B1C" w:rsidP="00514B1C" w14:paraId="06D63B71" w14:textId="77777777">
      <w:pPr>
        <w:pStyle w:val="Bodytext2"/>
        <w:rPr>
          <w:lang w:val="fi-FI"/>
        </w:rPr>
      </w:pPr>
    </w:p>
    <w:p w:rsidR="00514B1C" w:rsidRPr="00CF7968" w:rsidP="00514B1C" w14:paraId="63B3005E" w14:textId="1E3E0D2C">
      <w:pPr>
        <w:pStyle w:val="Heading13"/>
        <w:rPr>
          <w:lang w:val="fi-FI"/>
        </w:rPr>
      </w:pPr>
      <w:r w:rsidRPr="00CF7968">
        <w:rPr>
          <w:lang w:val="fi-FI"/>
        </w:rPr>
        <w:t>Tilauskanta</w:t>
      </w:r>
    </w:p>
    <w:p w:rsidR="00514B1C" w:rsidRPr="0072798D" w:rsidP="00514B1C" w14:paraId="6521F754" w14:textId="54E23642">
      <w:pPr>
        <w:pStyle w:val="Bodytext2"/>
        <w:rPr>
          <w:lang w:val="fi-FI"/>
        </w:rPr>
      </w:pPr>
      <w:r w:rsidRPr="00514B1C">
        <w:rPr>
          <w:lang w:val="fi-FI"/>
        </w:rPr>
        <w:t>Asiakkaiden tekemien, mutta vielä toimittamattomien tilausten arvo. Palvelusopimusten osalta vain seuraavan 24 kuukauden odotettu liikevaihto sisältyy tilauskantaan</w:t>
      </w:r>
      <w:r>
        <w:rPr>
          <w:lang w:val="fi-FI"/>
        </w:rPr>
        <w:t>.</w:t>
      </w:r>
    </w:p>
    <w:p w:rsidR="00514B1C" w:rsidRPr="0072798D" w:rsidP="00514B1C" w14:paraId="631A41E8" w14:textId="77777777">
      <w:pPr>
        <w:pStyle w:val="Bodytext2"/>
        <w:rPr>
          <w:lang w:val="fi-FI"/>
        </w:rPr>
      </w:pPr>
    </w:p>
    <w:p w:rsidR="00514B1C" w:rsidRPr="0072798D" w:rsidP="00514B1C" w14:paraId="015F4CCF" w14:textId="7AFF688E">
      <w:pPr>
        <w:pStyle w:val="Heading13"/>
        <w:rPr>
          <w:lang w:val="fi-FI"/>
        </w:rPr>
      </w:pPr>
      <w:r w:rsidRPr="0072798D">
        <w:rPr>
          <w:lang w:val="fi-FI"/>
        </w:rPr>
        <w:t>Nettokäyttöpääoma (WC</w:t>
      </w:r>
      <w:r w:rsidRPr="0072798D">
        <w:rPr>
          <w:lang w:val="fi-FI"/>
        </w:rPr>
        <w:t>AP)</w:t>
      </w:r>
    </w:p>
    <w:p w:rsidR="0072798D" w:rsidRPr="0072798D" w:rsidP="0072798D" w14:paraId="378C9B8D" w14:textId="77777777">
      <w:pPr>
        <w:pStyle w:val="Bodytext2"/>
        <w:rPr>
          <w:lang w:val="fi-FI"/>
        </w:rPr>
      </w:pPr>
      <w:r w:rsidRPr="0072798D">
        <w:rPr>
          <w:lang w:val="fi-FI"/>
        </w:rPr>
        <w:t>(vaihto-omaisuus + myyntisaamiset + verosaamiset + muut korottomat saamiset)</w:t>
      </w:r>
    </w:p>
    <w:p w:rsidR="00514B1C" w:rsidRPr="0072798D" w:rsidP="0072798D" w14:paraId="184A796A" w14:textId="2838378E">
      <w:pPr>
        <w:pStyle w:val="Bodytext2"/>
        <w:rPr>
          <w:lang w:val="fi-FI"/>
        </w:rPr>
      </w:pPr>
      <w:r w:rsidRPr="0072798D">
        <w:rPr>
          <w:lang w:val="fi-FI"/>
        </w:rPr>
        <w:t>– (ostovelat + saadut ennakot + eläkevelvoitteet + varaukset + verovelat + muut korottomat velat – osingonmaksuvelka)</w:t>
      </w:r>
    </w:p>
    <w:p w:rsidR="00514B1C" w:rsidRPr="0072798D" w:rsidP="00514B1C" w14:paraId="7C209685" w14:textId="77777777">
      <w:pPr>
        <w:pStyle w:val="Bodytext2"/>
        <w:rPr>
          <w:lang w:val="fi-FI"/>
        </w:rPr>
      </w:pPr>
    </w:p>
    <w:p w:rsidR="00514B1C" w:rsidP="00514B1C" w14:paraId="093B634E" w14:textId="5E8F937B">
      <w:pPr>
        <w:pStyle w:val="Heading13"/>
      </w:pPr>
      <w:r>
        <w:t>Korkokate</w:t>
      </w:r>
    </w:p>
    <w:tbl>
      <w:tblPr>
        <w:tblStyle w:val="TableGrid0"/>
        <w:tblW w:w="0" w:type="auto"/>
        <w:tblInd w:w="5" w:type="dxa"/>
        <w:tblLook w:val="04A0"/>
      </w:tblPr>
      <w:tblGrid>
        <w:gridCol w:w="7345"/>
        <w:gridCol w:w="20"/>
      </w:tblGrid>
      <w:tr w14:paraId="0912B943" w14:textId="77777777" w:rsidTr="00514B1C">
        <w:tblPrEx>
          <w:tblW w:w="0" w:type="auto"/>
          <w:tblInd w:w="5" w:type="dxa"/>
          <w:tblLook w:val="04A0"/>
        </w:tblPrEx>
        <w:tc>
          <w:tcPr>
            <w:tcW w:w="7361" w:type="dxa"/>
            <w:tcBorders>
              <w:top w:val="nil"/>
              <w:left w:val="nil"/>
              <w:bottom w:val="single" w:sz="4" w:space="0" w:color="auto"/>
              <w:right w:val="nil"/>
            </w:tcBorders>
            <w:hideMark/>
          </w:tcPr>
          <w:p w:rsidR="00514B1C" w:rsidRPr="0072798D" w14:paraId="465D6BE5" w14:textId="29BAF4F7">
            <w:pPr>
              <w:pStyle w:val="Bodytext2"/>
            </w:pPr>
            <w:r w:rsidRPr="0072798D">
              <w:t xml:space="preserve">tulos ennen veroja + poistot ja </w:t>
            </w:r>
            <w:r w:rsidRPr="0072798D">
              <w:t>arvonalentumiset + korko- ja muut rahoituskulut</w:t>
            </w:r>
          </w:p>
        </w:tc>
        <w:tc>
          <w:tcPr>
            <w:tcW w:w="20" w:type="dxa"/>
            <w:vMerge w:val="restart"/>
            <w:vAlign w:val="center"/>
          </w:tcPr>
          <w:p w:rsidR="00514B1C" w:rsidRPr="0072798D" w14:paraId="090111C0" w14:textId="77777777">
            <w:pPr>
              <w:pStyle w:val="Bodytext2"/>
            </w:pPr>
          </w:p>
        </w:tc>
      </w:tr>
      <w:tr w14:paraId="14ED5E3D" w14:textId="77777777" w:rsidTr="00514B1C">
        <w:tblPrEx>
          <w:tblW w:w="0" w:type="auto"/>
          <w:tblInd w:w="5" w:type="dxa"/>
          <w:tblLook w:val="04A0"/>
        </w:tblPrEx>
        <w:tc>
          <w:tcPr>
            <w:tcW w:w="7361" w:type="dxa"/>
            <w:tcBorders>
              <w:top w:val="single" w:sz="4" w:space="0" w:color="auto"/>
              <w:left w:val="nil"/>
              <w:bottom w:val="nil"/>
              <w:right w:val="nil"/>
            </w:tcBorders>
            <w:hideMark/>
          </w:tcPr>
          <w:p w:rsidR="00514B1C" w:rsidRPr="0072798D" w14:paraId="2E59EFE5" w14:textId="39E07FD2">
            <w:pPr>
              <w:pStyle w:val="Bodytext2"/>
            </w:pPr>
            <w:r w:rsidRPr="0072798D">
              <w:t>korko- ja muut rahoituskulut</w:t>
            </w:r>
          </w:p>
        </w:tc>
        <w:tc>
          <w:tcPr>
            <w:tcW w:w="0" w:type="auto"/>
            <w:vMerge/>
            <w:vAlign w:val="center"/>
            <w:hideMark/>
          </w:tcPr>
          <w:p w:rsidR="00514B1C" w:rsidRPr="0072798D" w14:paraId="4B54F2A4" w14:textId="77777777">
            <w:pPr>
              <w:spacing w:line="240" w:lineRule="auto"/>
              <w:rPr>
                <w:rFonts w:ascii="Arial" w:hAnsi="Arial" w:cs="Arial"/>
                <w:color w:val="111111"/>
                <w:sz w:val="15"/>
                <w:szCs w:val="17"/>
              </w:rPr>
            </w:pPr>
          </w:p>
        </w:tc>
      </w:tr>
    </w:tbl>
    <w:p w:rsidR="00514B1C" w:rsidRPr="0072798D" w:rsidP="00514B1C" w14:paraId="714509C6" w14:textId="77777777">
      <w:pPr>
        <w:pStyle w:val="Bodytext2"/>
        <w:rPr>
          <w:rFonts w:asciiTheme="minorHAnsi" w:hAnsiTheme="minorHAnsi" w:cstheme="minorHAnsi"/>
          <w:lang w:val="fi-FI" w:eastAsia="fi-FI"/>
        </w:rPr>
      </w:pPr>
    </w:p>
    <w:p w:rsidR="00514B1C" w:rsidP="00514B1C" w14:paraId="0094D2F1" w14:textId="59E2B4D1">
      <w:pPr>
        <w:pStyle w:val="Heading13"/>
        <w:rPr>
          <w:rFonts w:cstheme="minorBidi"/>
        </w:rPr>
      </w:pPr>
      <w:r w:rsidRPr="00CF7968">
        <w:t>Osinko</w:t>
      </w:r>
      <w:r w:rsidRPr="00CF7968">
        <w:t>/</w:t>
      </w:r>
      <w:r w:rsidRPr="00CF7968">
        <w:t>osake</w:t>
      </w:r>
    </w:p>
    <w:tbl>
      <w:tblPr>
        <w:tblStyle w:val="TableGrid0"/>
        <w:tblW w:w="0" w:type="auto"/>
        <w:tblInd w:w="5" w:type="dxa"/>
        <w:tblLook w:val="04A0"/>
      </w:tblPr>
      <w:tblGrid>
        <w:gridCol w:w="7345"/>
        <w:gridCol w:w="20"/>
      </w:tblGrid>
      <w:tr w14:paraId="5B5C4B03" w14:textId="77777777" w:rsidTr="00514B1C">
        <w:tblPrEx>
          <w:tblW w:w="0" w:type="auto"/>
          <w:tblInd w:w="5" w:type="dxa"/>
          <w:tblLook w:val="04A0"/>
        </w:tblPrEx>
        <w:tc>
          <w:tcPr>
            <w:tcW w:w="7361" w:type="dxa"/>
            <w:tcBorders>
              <w:top w:val="nil"/>
              <w:left w:val="nil"/>
              <w:bottom w:val="single" w:sz="4" w:space="0" w:color="auto"/>
              <w:right w:val="nil"/>
            </w:tcBorders>
            <w:hideMark/>
          </w:tcPr>
          <w:p w:rsidR="00514B1C" w14:paraId="686D0B24" w14:textId="25F46522">
            <w:pPr>
              <w:pStyle w:val="Bodytext2"/>
              <w:rPr>
                <w:lang w:val="en-GB"/>
              </w:rPr>
            </w:pPr>
            <w:r w:rsidRPr="00CF7968">
              <w:rPr>
                <w:lang w:val="en-GB"/>
              </w:rPr>
              <w:t>tilikaudelta</w:t>
            </w:r>
            <w:r w:rsidRPr="00CF7968">
              <w:rPr>
                <w:lang w:val="en-GB"/>
              </w:rPr>
              <w:t xml:space="preserve"> </w:t>
            </w:r>
            <w:r w:rsidRPr="00CF7968">
              <w:rPr>
                <w:lang w:val="en-GB"/>
              </w:rPr>
              <w:t>jaettu</w:t>
            </w:r>
            <w:r w:rsidRPr="00CF7968">
              <w:rPr>
                <w:lang w:val="en-GB"/>
              </w:rPr>
              <w:t xml:space="preserve"> </w:t>
            </w:r>
            <w:r w:rsidRPr="00CF7968">
              <w:rPr>
                <w:lang w:val="en-GB"/>
              </w:rPr>
              <w:t>osinko</w:t>
            </w:r>
          </w:p>
        </w:tc>
        <w:tc>
          <w:tcPr>
            <w:tcW w:w="20" w:type="dxa"/>
            <w:vMerge w:val="restart"/>
            <w:vAlign w:val="center"/>
          </w:tcPr>
          <w:p w:rsidR="00514B1C" w14:paraId="3A5148A2" w14:textId="77777777">
            <w:pPr>
              <w:pStyle w:val="Bodytext2"/>
              <w:rPr>
                <w:lang w:val="en-GB"/>
              </w:rPr>
            </w:pPr>
          </w:p>
        </w:tc>
      </w:tr>
      <w:tr w14:paraId="53E5A558" w14:textId="77777777" w:rsidTr="00514B1C">
        <w:tblPrEx>
          <w:tblW w:w="0" w:type="auto"/>
          <w:tblInd w:w="5" w:type="dxa"/>
          <w:tblLook w:val="04A0"/>
        </w:tblPrEx>
        <w:tc>
          <w:tcPr>
            <w:tcW w:w="7361" w:type="dxa"/>
            <w:tcBorders>
              <w:top w:val="single" w:sz="4" w:space="0" w:color="auto"/>
              <w:left w:val="nil"/>
              <w:bottom w:val="nil"/>
              <w:right w:val="nil"/>
            </w:tcBorders>
            <w:hideMark/>
          </w:tcPr>
          <w:p w:rsidR="00514B1C" w:rsidRPr="00CF7968" w14:paraId="7EB69BF6" w14:textId="20435266">
            <w:pPr>
              <w:pStyle w:val="Bodytext2"/>
            </w:pPr>
            <w:r w:rsidRPr="00CF7968">
              <w:t>osakkeiden oikaistu lukumäärä tilikauden lopussa</w:t>
            </w:r>
          </w:p>
        </w:tc>
        <w:tc>
          <w:tcPr>
            <w:tcW w:w="0" w:type="auto"/>
            <w:vMerge/>
            <w:vAlign w:val="center"/>
            <w:hideMark/>
          </w:tcPr>
          <w:p w:rsidR="00514B1C" w:rsidRPr="00CF7968" w14:paraId="3E8A1F75" w14:textId="77777777">
            <w:pPr>
              <w:spacing w:line="240" w:lineRule="auto"/>
              <w:rPr>
                <w:rFonts w:ascii="Arial" w:hAnsi="Arial" w:cs="Arial"/>
                <w:color w:val="111111"/>
                <w:sz w:val="15"/>
                <w:szCs w:val="17"/>
              </w:rPr>
            </w:pPr>
          </w:p>
        </w:tc>
      </w:tr>
    </w:tbl>
    <w:p w:rsidR="00514B1C" w:rsidP="00514B1C" w14:paraId="54DD56F7" w14:textId="3F2393D9">
      <w:pPr>
        <w:pStyle w:val="Heading13"/>
      </w:pPr>
      <w:r w:rsidRPr="00CF7968">
        <w:t>Osinko</w:t>
      </w:r>
      <w:r w:rsidRPr="00CF7968">
        <w:t>/</w:t>
      </w:r>
      <w:r w:rsidRPr="00CF7968">
        <w:t>tulos</w:t>
      </w:r>
    </w:p>
    <w:tbl>
      <w:tblPr>
        <w:tblStyle w:val="TableGrid0"/>
        <w:tblW w:w="0" w:type="auto"/>
        <w:tblInd w:w="5" w:type="dxa"/>
        <w:tblLook w:val="04A0"/>
      </w:tblPr>
      <w:tblGrid>
        <w:gridCol w:w="6799"/>
        <w:gridCol w:w="562"/>
      </w:tblGrid>
      <w:tr w14:paraId="6832A779" w14:textId="77777777" w:rsidTr="00514B1C">
        <w:tblPrEx>
          <w:tblW w:w="0" w:type="auto"/>
          <w:tblInd w:w="5" w:type="dxa"/>
          <w:tblLook w:val="04A0"/>
        </w:tblPrEx>
        <w:tc>
          <w:tcPr>
            <w:tcW w:w="6799" w:type="dxa"/>
            <w:tcBorders>
              <w:top w:val="nil"/>
              <w:left w:val="nil"/>
              <w:bottom w:val="single" w:sz="4" w:space="0" w:color="auto"/>
              <w:right w:val="nil"/>
            </w:tcBorders>
            <w:hideMark/>
          </w:tcPr>
          <w:p w:rsidR="00514B1C" w14:paraId="4A5E3652" w14:textId="167285A4">
            <w:pPr>
              <w:pStyle w:val="Bodytext2"/>
            </w:pPr>
            <w:r w:rsidRPr="00CF7968">
              <w:t>osinko/osake</w:t>
            </w:r>
          </w:p>
        </w:tc>
        <w:tc>
          <w:tcPr>
            <w:tcW w:w="562" w:type="dxa"/>
            <w:vMerge w:val="restart"/>
            <w:vAlign w:val="center"/>
            <w:hideMark/>
          </w:tcPr>
          <w:p w:rsidR="00514B1C" w14:paraId="1B56B38B" w14:textId="77777777">
            <w:pPr>
              <w:pStyle w:val="Bodytext2"/>
            </w:pPr>
            <w:r>
              <w:t xml:space="preserve">   x 100</w:t>
            </w:r>
          </w:p>
        </w:tc>
      </w:tr>
      <w:tr w14:paraId="189200C5" w14:textId="77777777" w:rsidTr="00514B1C">
        <w:tblPrEx>
          <w:tblW w:w="0" w:type="auto"/>
          <w:tblInd w:w="5" w:type="dxa"/>
          <w:tblLook w:val="04A0"/>
        </w:tblPrEx>
        <w:tc>
          <w:tcPr>
            <w:tcW w:w="6799" w:type="dxa"/>
            <w:tcBorders>
              <w:top w:val="single" w:sz="4" w:space="0" w:color="auto"/>
              <w:left w:val="nil"/>
              <w:bottom w:val="nil"/>
              <w:right w:val="nil"/>
            </w:tcBorders>
            <w:hideMark/>
          </w:tcPr>
          <w:p w:rsidR="00514B1C" w:rsidRPr="00CF7968" w14:paraId="7A4FADD6" w14:textId="7CAFEBC8">
            <w:pPr>
              <w:pStyle w:val="Bodytext2"/>
            </w:pPr>
            <w:r w:rsidRPr="00CF7968">
              <w:t xml:space="preserve">tulos/osake (EPS), laimentamaton ja </w:t>
            </w:r>
            <w:r w:rsidRPr="00CF7968">
              <w:t>laimennettu</w:t>
            </w:r>
          </w:p>
        </w:tc>
        <w:tc>
          <w:tcPr>
            <w:tcW w:w="0" w:type="auto"/>
            <w:vMerge/>
            <w:vAlign w:val="center"/>
            <w:hideMark/>
          </w:tcPr>
          <w:p w:rsidR="00514B1C" w:rsidRPr="00CF7968" w14:paraId="5DCCE5A0" w14:textId="77777777">
            <w:pPr>
              <w:spacing w:line="240" w:lineRule="auto"/>
              <w:rPr>
                <w:rFonts w:ascii="Arial" w:hAnsi="Arial" w:cs="Arial"/>
                <w:color w:val="111111"/>
                <w:sz w:val="15"/>
                <w:szCs w:val="17"/>
              </w:rPr>
            </w:pPr>
          </w:p>
        </w:tc>
      </w:tr>
    </w:tbl>
    <w:p w:rsidR="00514B1C" w:rsidRPr="00CF7968" w:rsidP="00514B1C" w14:paraId="343450A5" w14:textId="77777777">
      <w:pPr>
        <w:pStyle w:val="Bodytext2"/>
        <w:rPr>
          <w:rFonts w:asciiTheme="minorHAnsi" w:hAnsiTheme="minorHAnsi" w:cstheme="minorHAnsi"/>
          <w:lang w:val="fi-FI" w:eastAsia="fi-FI"/>
        </w:rPr>
      </w:pPr>
    </w:p>
    <w:p w:rsidR="00514B1C" w:rsidP="00514B1C" w14:paraId="5606A3EE" w14:textId="5CF6BCA5">
      <w:pPr>
        <w:pStyle w:val="Heading13"/>
        <w:rPr>
          <w:rFonts w:cstheme="minorBidi"/>
        </w:rPr>
      </w:pPr>
      <w:r w:rsidRPr="00CF7968">
        <w:t>Efektiivinen</w:t>
      </w:r>
      <w:r w:rsidRPr="00CF7968">
        <w:t xml:space="preserve"> </w:t>
      </w:r>
      <w:r w:rsidRPr="00CF7968">
        <w:t>osinkotuotto</w:t>
      </w:r>
    </w:p>
    <w:tbl>
      <w:tblPr>
        <w:tblStyle w:val="TableGrid0"/>
        <w:tblW w:w="0" w:type="auto"/>
        <w:tblInd w:w="5" w:type="dxa"/>
        <w:tblLook w:val="04A0"/>
      </w:tblPr>
      <w:tblGrid>
        <w:gridCol w:w="6799"/>
        <w:gridCol w:w="562"/>
      </w:tblGrid>
      <w:tr w14:paraId="18B34EEA" w14:textId="77777777" w:rsidTr="00514B1C">
        <w:tblPrEx>
          <w:tblW w:w="0" w:type="auto"/>
          <w:tblInd w:w="5" w:type="dxa"/>
          <w:tblLook w:val="04A0"/>
        </w:tblPrEx>
        <w:tc>
          <w:tcPr>
            <w:tcW w:w="6799" w:type="dxa"/>
            <w:tcBorders>
              <w:top w:val="nil"/>
              <w:left w:val="nil"/>
              <w:bottom w:val="single" w:sz="4" w:space="0" w:color="auto"/>
              <w:right w:val="nil"/>
            </w:tcBorders>
            <w:hideMark/>
          </w:tcPr>
          <w:p w:rsidR="00514B1C" w14:paraId="57CBC111" w14:textId="75E41268">
            <w:pPr>
              <w:pStyle w:val="Bodytext2"/>
            </w:pPr>
            <w:r w:rsidRPr="00CF7968">
              <w:t>osinko/osake</w:t>
            </w:r>
          </w:p>
        </w:tc>
        <w:tc>
          <w:tcPr>
            <w:tcW w:w="562" w:type="dxa"/>
            <w:vMerge w:val="restart"/>
            <w:vAlign w:val="center"/>
            <w:hideMark/>
          </w:tcPr>
          <w:p w:rsidR="00514B1C" w14:paraId="3EBAA0B0" w14:textId="77777777">
            <w:pPr>
              <w:pStyle w:val="Bodytext2"/>
            </w:pPr>
            <w:r>
              <w:t xml:space="preserve">   x 100</w:t>
            </w:r>
          </w:p>
        </w:tc>
      </w:tr>
      <w:tr w14:paraId="649D0715" w14:textId="77777777" w:rsidTr="00514B1C">
        <w:tblPrEx>
          <w:tblW w:w="0" w:type="auto"/>
          <w:tblInd w:w="5" w:type="dxa"/>
          <w:tblLook w:val="04A0"/>
        </w:tblPrEx>
        <w:tc>
          <w:tcPr>
            <w:tcW w:w="6799" w:type="dxa"/>
            <w:tcBorders>
              <w:top w:val="single" w:sz="4" w:space="0" w:color="auto"/>
              <w:left w:val="nil"/>
              <w:bottom w:val="nil"/>
              <w:right w:val="nil"/>
            </w:tcBorders>
            <w:hideMark/>
          </w:tcPr>
          <w:p w:rsidR="00514B1C" w:rsidRPr="00CF7968" w14:paraId="31E72BB8" w14:textId="3AC4D83A">
            <w:pPr>
              <w:pStyle w:val="Bodytext2"/>
            </w:pPr>
            <w:r w:rsidRPr="00CF7968">
              <w:t>oikaistu osakekurssi tilikauden lopussa</w:t>
            </w:r>
          </w:p>
        </w:tc>
        <w:tc>
          <w:tcPr>
            <w:tcW w:w="0" w:type="auto"/>
            <w:vMerge/>
            <w:vAlign w:val="center"/>
            <w:hideMark/>
          </w:tcPr>
          <w:p w:rsidR="00514B1C" w:rsidRPr="00CF7968" w14:paraId="0C84FAFA" w14:textId="77777777">
            <w:pPr>
              <w:spacing w:line="240" w:lineRule="auto"/>
              <w:rPr>
                <w:rFonts w:ascii="Arial" w:hAnsi="Arial" w:cs="Arial"/>
                <w:color w:val="111111"/>
                <w:sz w:val="15"/>
                <w:szCs w:val="17"/>
              </w:rPr>
            </w:pPr>
          </w:p>
        </w:tc>
      </w:tr>
    </w:tbl>
    <w:p w:rsidR="00514B1C" w:rsidRPr="00CF7968" w:rsidP="00514B1C" w14:paraId="7725AEA8" w14:textId="77777777">
      <w:pPr>
        <w:pStyle w:val="Bodytext2"/>
        <w:rPr>
          <w:rFonts w:asciiTheme="minorHAnsi" w:hAnsiTheme="minorHAnsi" w:cstheme="minorHAnsi"/>
          <w:lang w:val="fi-FI" w:eastAsia="fi-FI"/>
        </w:rPr>
      </w:pPr>
    </w:p>
    <w:p w:rsidR="00514B1C" w:rsidP="00514B1C" w14:paraId="7BAA50CC" w14:textId="3A27AC2C">
      <w:pPr>
        <w:pStyle w:val="Heading13"/>
        <w:rPr>
          <w:rFonts w:cstheme="minorBidi"/>
        </w:rPr>
      </w:pPr>
      <w:r w:rsidRPr="00CF7968">
        <w:t>Hinta</w:t>
      </w:r>
      <w:r w:rsidRPr="00CF7968">
        <w:t>/</w:t>
      </w:r>
      <w:r w:rsidRPr="00CF7968">
        <w:t>voitto</w:t>
      </w:r>
      <w:r w:rsidRPr="00CF7968">
        <w:t xml:space="preserve"> (P/E)</w:t>
      </w:r>
    </w:p>
    <w:tbl>
      <w:tblPr>
        <w:tblStyle w:val="TableGrid0"/>
        <w:tblW w:w="0" w:type="auto"/>
        <w:tblInd w:w="5" w:type="dxa"/>
        <w:tblLook w:val="04A0"/>
      </w:tblPr>
      <w:tblGrid>
        <w:gridCol w:w="7345"/>
        <w:gridCol w:w="20"/>
      </w:tblGrid>
      <w:tr w14:paraId="3B7043A7" w14:textId="77777777" w:rsidTr="00514B1C">
        <w:tblPrEx>
          <w:tblW w:w="0" w:type="auto"/>
          <w:tblInd w:w="5" w:type="dxa"/>
          <w:tblLook w:val="04A0"/>
        </w:tblPrEx>
        <w:tc>
          <w:tcPr>
            <w:tcW w:w="7361" w:type="dxa"/>
            <w:tcBorders>
              <w:top w:val="nil"/>
              <w:left w:val="nil"/>
              <w:bottom w:val="single" w:sz="4" w:space="0" w:color="auto"/>
              <w:right w:val="nil"/>
            </w:tcBorders>
            <w:hideMark/>
          </w:tcPr>
          <w:p w:rsidR="00514B1C" w:rsidRPr="00CF7968" w14:paraId="4FEAA65B" w14:textId="62A0EF6E">
            <w:pPr>
              <w:pStyle w:val="Bodytext2"/>
            </w:pPr>
            <w:r w:rsidRPr="00CF7968">
              <w:t>oikaistu osakekurssi tilikauden lopussa</w:t>
            </w:r>
          </w:p>
        </w:tc>
        <w:tc>
          <w:tcPr>
            <w:tcW w:w="20" w:type="dxa"/>
            <w:vMerge w:val="restart"/>
            <w:vAlign w:val="center"/>
          </w:tcPr>
          <w:p w:rsidR="00514B1C" w:rsidRPr="00CF7968" w14:paraId="77FCE1D3" w14:textId="77777777">
            <w:pPr>
              <w:pStyle w:val="Bodytext2"/>
            </w:pPr>
          </w:p>
        </w:tc>
      </w:tr>
      <w:tr w14:paraId="1759ED63" w14:textId="77777777" w:rsidTr="00514B1C">
        <w:tblPrEx>
          <w:tblW w:w="0" w:type="auto"/>
          <w:tblInd w:w="5" w:type="dxa"/>
          <w:tblLook w:val="04A0"/>
        </w:tblPrEx>
        <w:tc>
          <w:tcPr>
            <w:tcW w:w="7361" w:type="dxa"/>
            <w:tcBorders>
              <w:top w:val="single" w:sz="4" w:space="0" w:color="auto"/>
              <w:left w:val="nil"/>
              <w:bottom w:val="nil"/>
              <w:right w:val="nil"/>
            </w:tcBorders>
            <w:hideMark/>
          </w:tcPr>
          <w:p w:rsidR="00514B1C" w:rsidRPr="00CF7968" w14:paraId="5CE03C00" w14:textId="1D954E6B">
            <w:pPr>
              <w:pStyle w:val="Bodytext2"/>
            </w:pPr>
            <w:r w:rsidRPr="00CF7968">
              <w:t>tulos/osake (EPS), laimentamaton ja laimennettu</w:t>
            </w:r>
          </w:p>
        </w:tc>
        <w:tc>
          <w:tcPr>
            <w:tcW w:w="0" w:type="auto"/>
            <w:vMerge/>
            <w:vAlign w:val="center"/>
            <w:hideMark/>
          </w:tcPr>
          <w:p w:rsidR="00514B1C" w:rsidRPr="00CF7968" w14:paraId="216AC024" w14:textId="77777777">
            <w:pPr>
              <w:spacing w:line="240" w:lineRule="auto"/>
              <w:rPr>
                <w:rFonts w:ascii="Arial" w:hAnsi="Arial" w:cs="Arial"/>
                <w:color w:val="111111"/>
                <w:sz w:val="15"/>
                <w:szCs w:val="17"/>
              </w:rPr>
            </w:pPr>
          </w:p>
        </w:tc>
      </w:tr>
    </w:tbl>
    <w:p w:rsidR="00514B1C" w:rsidRPr="00CF7968" w:rsidP="00514B1C" w14:paraId="6FF4AD4D" w14:textId="77777777">
      <w:pPr>
        <w:pStyle w:val="Bodytext2"/>
        <w:rPr>
          <w:rFonts w:asciiTheme="minorHAnsi" w:hAnsiTheme="minorHAnsi" w:cstheme="minorHAnsi"/>
          <w:lang w:val="fi-FI" w:eastAsia="fi-FI"/>
        </w:rPr>
      </w:pPr>
    </w:p>
    <w:p w:rsidR="00514B1C" w:rsidRPr="00CF7968" w:rsidP="00514B1C" w14:paraId="18A967F9" w14:textId="5F324DA9">
      <w:pPr>
        <w:pStyle w:val="Heading13"/>
        <w:rPr>
          <w:rFonts w:cstheme="minorBidi"/>
          <w:lang w:val="fi-FI"/>
        </w:rPr>
      </w:pPr>
      <w:r w:rsidRPr="00CF7968">
        <w:rPr>
          <w:lang w:val="fi-FI"/>
        </w:rPr>
        <w:t>Hinta/osakekohtainen oma pääoma (P/BV)</w:t>
      </w:r>
    </w:p>
    <w:tbl>
      <w:tblPr>
        <w:tblStyle w:val="TableGrid0"/>
        <w:tblW w:w="0" w:type="auto"/>
        <w:tblInd w:w="5" w:type="dxa"/>
        <w:tblLook w:val="04A0"/>
      </w:tblPr>
      <w:tblGrid>
        <w:gridCol w:w="7345"/>
        <w:gridCol w:w="6"/>
        <w:gridCol w:w="14"/>
      </w:tblGrid>
      <w:tr w14:paraId="4268CA59" w14:textId="77777777" w:rsidTr="002D617A">
        <w:tblPrEx>
          <w:tblW w:w="0" w:type="auto"/>
          <w:tblInd w:w="5" w:type="dxa"/>
          <w:tblLook w:val="04A0"/>
        </w:tblPrEx>
        <w:tc>
          <w:tcPr>
            <w:tcW w:w="7345" w:type="dxa"/>
            <w:tcBorders>
              <w:top w:val="nil"/>
              <w:left w:val="nil"/>
              <w:bottom w:val="single" w:sz="4" w:space="0" w:color="auto"/>
              <w:right w:val="nil"/>
            </w:tcBorders>
            <w:hideMark/>
          </w:tcPr>
          <w:p w:rsidR="00514B1C" w:rsidRPr="00CF7968" w14:paraId="36067ED2" w14:textId="20517DA8">
            <w:pPr>
              <w:pStyle w:val="Bodytext2"/>
            </w:pPr>
            <w:r w:rsidRPr="00CF7968">
              <w:t>oikaistu osakekurssi tilikauden lopussa</w:t>
            </w:r>
          </w:p>
        </w:tc>
        <w:tc>
          <w:tcPr>
            <w:tcW w:w="20" w:type="dxa"/>
            <w:gridSpan w:val="2"/>
            <w:vAlign w:val="center"/>
          </w:tcPr>
          <w:p w:rsidR="00514B1C" w:rsidRPr="00CF7968" w14:paraId="323BFD15" w14:textId="77777777">
            <w:pPr>
              <w:pStyle w:val="Bodytext2"/>
            </w:pPr>
          </w:p>
        </w:tc>
      </w:tr>
      <w:tr w14:paraId="24E9946F" w14:textId="77777777" w:rsidTr="002D617A">
        <w:tblPrEx>
          <w:tblW w:w="0" w:type="auto"/>
          <w:tblInd w:w="5" w:type="dxa"/>
          <w:tblLook w:val="04A0"/>
        </w:tblPrEx>
        <w:trPr>
          <w:gridAfter w:val="1"/>
          <w:wAfter w:w="14" w:type="dxa"/>
        </w:trPr>
        <w:tc>
          <w:tcPr>
            <w:tcW w:w="7345" w:type="dxa"/>
            <w:tcBorders>
              <w:top w:val="single" w:sz="4" w:space="0" w:color="auto"/>
              <w:left w:val="nil"/>
              <w:bottom w:val="nil"/>
              <w:right w:val="nil"/>
            </w:tcBorders>
            <w:hideMark/>
          </w:tcPr>
          <w:p w:rsidR="00514B1C" w14:paraId="49278941" w14:textId="009BE532">
            <w:pPr>
              <w:pStyle w:val="Bodytext2"/>
            </w:pPr>
            <w:r w:rsidRPr="00CF7968">
              <w:t>oma pääoma/osake</w:t>
            </w:r>
          </w:p>
        </w:tc>
        <w:tc>
          <w:tcPr>
            <w:tcW w:w="0" w:type="auto"/>
            <w:vAlign w:val="center"/>
            <w:hideMark/>
          </w:tcPr>
          <w:p w:rsidR="00514B1C" w14:paraId="0CC9630D" w14:textId="77777777">
            <w:pPr>
              <w:spacing w:line="240" w:lineRule="auto"/>
              <w:rPr>
                <w:rFonts w:ascii="Arial" w:hAnsi="Arial" w:cs="Arial"/>
                <w:color w:val="111111"/>
                <w:sz w:val="15"/>
                <w:szCs w:val="17"/>
                <w:lang w:val="en-GB"/>
              </w:rPr>
            </w:pPr>
          </w:p>
        </w:tc>
      </w:tr>
    </w:tbl>
    <w:p w:rsidR="007A4855" w:rsidP="007A4855" w14:paraId="2FF02E55" w14:textId="31119E41">
      <w:pPr>
        <w:pStyle w:val="Bodytext2"/>
        <w:rPr>
          <w:sz w:val="14"/>
          <w:szCs w:val="14"/>
        </w:rPr>
      </w:pPr>
      <w:r>
        <w:rPr>
          <w:sz w:val="14"/>
          <w:szCs w:val="14"/>
        </w:rPr>
        <w:br w:type="page"/>
      </w:r>
    </w:p>
    <w:p w:rsidR="00514B1C" w:rsidRPr="007A4855" w:rsidP="007A4855" w14:paraId="0BF10300" w14:textId="77777777">
      <w:pPr>
        <w:pStyle w:val="Bodytext2"/>
        <w:rPr>
          <w:sz w:val="2"/>
          <w:szCs w:val="2"/>
        </w:rPr>
      </w:pPr>
      <w:r>
        <w:t xml:space="preserve"> </w:t>
      </w:r>
    </w:p>
    <w:p w:rsidR="002642EE" w:rsidP="002642EE" w14:textId="735EBE11">
      <w:pPr>
        <w:pStyle w:val="Heading10"/>
      </w:pPr>
      <w:bookmarkStart w:id="34" w:name="RG_MARKER_4683"/>
      <w:bookmarkStart w:id="35" w:name="RG_MARKER_4053"/>
      <w:bookmarkStart w:id="36" w:name="RG_MARKER_1765"/>
      <w:r>
        <w:t>TILINPÄÄTÖS</w:t>
      </w:r>
      <w:bookmarkEnd w:id="36"/>
      <w:bookmarkEnd w:id="35"/>
      <w:bookmarkEnd w:id="34"/>
    </w:p>
    <w:p w:rsidR="008D299A" w:rsidP="008D299A" w14:paraId="14AE90BC" w14:textId="128B7F1C">
      <w:pPr>
        <w:pStyle w:val="Heading10"/>
      </w:pPr>
      <w:r>
        <w:t>KONSERNITILINPÄÄTÖS</w:t>
      </w:r>
    </w:p>
    <w:p w:rsidR="008D299A" w:rsidRPr="008D299A" w:rsidP="008D299A" w14:paraId="0C981218" w14:textId="75A49DF8">
      <w:pPr>
        <w:pStyle w:val="Heading10"/>
      </w:pPr>
      <w:r>
        <w:t>KONSERNIN TULOSLASKELMA</w:t>
      </w:r>
    </w:p>
    <w:p/>
    <w:tbl>
      <w:tblPr>
        <w:tblStyle w:val="CDMRange1"/>
        <w:tblW w:w="7365" w:type="dxa"/>
        <w:tblLayout w:type="fixed"/>
        <w:tblLook w:val="0600"/>
      </w:tblPr>
      <w:tblGrid>
        <w:gridCol w:w="3885"/>
        <w:gridCol w:w="1200"/>
        <w:gridCol w:w="1200"/>
        <w:gridCol w:w="1080"/>
      </w:tblGrid>
      <w:tr>
        <w:tblPrEx>
          <w:tblW w:w="7365" w:type="dxa"/>
          <w:tblLayout w:type="fixed"/>
          <w:tblLook w:val="0600"/>
        </w:tblPrEx>
        <w:trPr>
          <w:trHeight w:hRule="exact" w:val="240"/>
        </w:trPr>
        <w:tc>
          <w:tcPr>
            <w:tcW w:w="38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0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0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Liikevaihto</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7" w:name="XBRL_CS_c4199389c7e2413d995ae462624ad815"/>
            <w:bookmarkEnd w:id="37"/>
            <w:bookmarkStart w:id="38" w:name="c4199389c7e2413d995ae462624ad815"/>
            <w:r>
              <w:rPr>
                <w:rFonts w:ascii="Arial" w:eastAsia="Arial" w:hAnsi="Arial" w:cs="Arial"/>
                <w:b/>
                <w:i w:val="0"/>
                <w:strike w:val="0"/>
                <w:color w:val="000000"/>
                <w:sz w:val="13"/>
                <w:u w:val="none"/>
                <w:vertAlign w:val="baseline"/>
              </w:rPr>
              <w:t>4 604</w:t>
            </w:r>
            <w:bookmarkStart w:id="39" w:name="XBRL_CE_c4199389c7e2413d995ae462624ad815"/>
            <w:bookmarkEnd w:id="38"/>
            <w:bookmarkEnd w:id="39"/>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0" w:name="XBRL_CS_cee7b72b1eb247698ac05a63e0a0027e"/>
            <w:bookmarkEnd w:id="40"/>
            <w:bookmarkStart w:id="41" w:name="cee7b72b1eb247698ac05a63e0a0027e"/>
            <w:bookmarkStart w:id="42" w:name="XBRL_CS_863833b2775041259573c2a99fbfab36"/>
            <w:bookmarkEnd w:id="42"/>
            <w:bookmarkStart w:id="43" w:name="863833b2775041259573c2a99fbfab36"/>
            <w:r>
              <w:rPr>
                <w:rFonts w:ascii="Arial" w:eastAsia="Arial" w:hAnsi="Arial" w:cs="Arial"/>
                <w:b w:val="0"/>
                <w:i w:val="0"/>
                <w:strike w:val="0"/>
                <w:color w:val="000000"/>
                <w:sz w:val="13"/>
                <w:u w:val="none"/>
                <w:vertAlign w:val="baseline"/>
              </w:rPr>
              <w:t>5 170</w:t>
            </w:r>
            <w:bookmarkStart w:id="44" w:name="XBRL_CE_863833b2775041259573c2a99fbfab36"/>
            <w:bookmarkEnd w:id="43"/>
            <w:bookmarkEnd w:id="44"/>
            <w:bookmarkStart w:id="45" w:name="XBRL_CE_cee7b72b1eb247698ac05a63e0a0027e"/>
            <w:bookmarkEnd w:id="41"/>
            <w:bookmarkEnd w:id="45"/>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2.1., 2.2.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Valmiiden ja keskeneräisten tuotteiden varastojen muutos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6" w:name="XBRL_CS_26eef657ea61405ebc1d76ccac498b98"/>
            <w:bookmarkEnd w:id="46"/>
            <w:bookmarkStart w:id="47" w:name="26eef657ea61405ebc1d76ccac498b98"/>
            <w:r>
              <w:rPr>
                <w:rFonts w:ascii="Arial" w:eastAsia="Arial" w:hAnsi="Arial" w:cs="Arial"/>
                <w:b/>
                <w:i w:val="0"/>
                <w:strike w:val="0"/>
                <w:color w:val="000000"/>
                <w:sz w:val="13"/>
                <w:u w:val="none"/>
                <w:vertAlign w:val="baseline"/>
              </w:rPr>
              <w:t>-104</w:t>
            </w:r>
            <w:bookmarkStart w:id="48" w:name="XBRL_CE_26eef657ea61405ebc1d76ccac498b98"/>
            <w:bookmarkEnd w:id="47"/>
            <w:bookmarkEnd w:id="48"/>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9" w:name="XBRL_CS_4bc994f5ef0645bcbd2ce0420310fd1b"/>
            <w:bookmarkEnd w:id="49"/>
            <w:bookmarkStart w:id="50" w:name="4bc994f5ef0645bcbd2ce0420310fd1b"/>
            <w:r>
              <w:rPr>
                <w:rFonts w:ascii="Arial" w:eastAsia="Arial" w:hAnsi="Arial" w:cs="Arial"/>
                <w:b w:val="0"/>
                <w:i w:val="0"/>
                <w:strike w:val="0"/>
                <w:color w:val="000000"/>
                <w:sz w:val="13"/>
                <w:u w:val="none"/>
                <w:vertAlign w:val="baseline"/>
              </w:rPr>
              <w:t>137</w:t>
            </w:r>
            <w:bookmarkStart w:id="51" w:name="XBRL_CE_4bc994f5ef0645bcbd2ce0420310fd1b"/>
            <w:bookmarkEnd w:id="50"/>
            <w:bookmarkEnd w:id="51"/>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Valmistus omaan käyttöön</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2" w:name="XBRL_CS_cc113566dca644ff9f4e1069a2cc558f"/>
            <w:bookmarkEnd w:id="52"/>
            <w:bookmarkStart w:id="53" w:name="cc113566dca644ff9f4e1069a2cc558f"/>
            <w:r>
              <w:rPr>
                <w:rFonts w:ascii="Arial" w:eastAsia="Arial" w:hAnsi="Arial" w:cs="Arial"/>
                <w:b/>
                <w:i w:val="0"/>
                <w:strike w:val="0"/>
                <w:color w:val="000000"/>
                <w:sz w:val="13"/>
                <w:u w:val="none"/>
                <w:vertAlign w:val="baseline"/>
              </w:rPr>
              <w:t>19</w:t>
            </w:r>
            <w:bookmarkStart w:id="54" w:name="XBRL_CE_cc113566dca644ff9f4e1069a2cc558f"/>
            <w:bookmarkEnd w:id="53"/>
            <w:bookmarkEnd w:id="54"/>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5" w:name="XBRL_CS_85f8194a3edb410b8a894df0ac03d1d7"/>
            <w:bookmarkEnd w:id="55"/>
            <w:bookmarkStart w:id="56" w:name="85f8194a3edb410b8a894df0ac03d1d7"/>
            <w:r>
              <w:rPr>
                <w:rFonts w:ascii="Arial" w:eastAsia="Arial" w:hAnsi="Arial" w:cs="Arial"/>
                <w:b w:val="0"/>
                <w:i w:val="0"/>
                <w:strike w:val="0"/>
                <w:color w:val="000000"/>
                <w:sz w:val="13"/>
                <w:u w:val="none"/>
                <w:vertAlign w:val="baseline"/>
              </w:rPr>
              <w:t>18</w:t>
            </w:r>
            <w:bookmarkStart w:id="57" w:name="XBRL_CE_85f8194a3edb410b8a894df0ac03d1d7"/>
            <w:bookmarkEnd w:id="56"/>
            <w:bookmarkEnd w:id="57"/>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Liiketoiminnan muut tuotot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8" w:name="XBRL_CS_b878c913da8342a985128f6ab8f42a69"/>
            <w:bookmarkEnd w:id="58"/>
            <w:bookmarkStart w:id="59" w:name="b878c913da8342a985128f6ab8f42a69"/>
            <w:r>
              <w:rPr>
                <w:rFonts w:ascii="Arial" w:eastAsia="Arial" w:hAnsi="Arial" w:cs="Arial"/>
                <w:b/>
                <w:i w:val="0"/>
                <w:strike w:val="0"/>
                <w:color w:val="000000"/>
                <w:sz w:val="13"/>
                <w:u w:val="none"/>
                <w:vertAlign w:val="baseline"/>
              </w:rPr>
              <w:t>61</w:t>
            </w:r>
            <w:bookmarkStart w:id="60" w:name="XBRL_CE_b878c913da8342a985128f6ab8f42a69"/>
            <w:bookmarkEnd w:id="59"/>
            <w:bookmarkEnd w:id="60"/>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1" w:name="XBRL_CS_49d382677b2f43cebd315eeb1ece7b0f"/>
            <w:bookmarkEnd w:id="61"/>
            <w:bookmarkStart w:id="62" w:name="49d382677b2f43cebd315eeb1ece7b0f"/>
            <w:r>
              <w:rPr>
                <w:rFonts w:ascii="Arial" w:eastAsia="Arial" w:hAnsi="Arial" w:cs="Arial"/>
                <w:b w:val="0"/>
                <w:i w:val="0"/>
                <w:strike w:val="0"/>
                <w:color w:val="000000"/>
                <w:sz w:val="13"/>
                <w:u w:val="none"/>
                <w:vertAlign w:val="baseline"/>
              </w:rPr>
              <w:t>67</w:t>
            </w:r>
            <w:bookmarkStart w:id="63" w:name="XBRL_CE_49d382677b2f43cebd315eeb1ece7b0f"/>
            <w:bookmarkEnd w:id="62"/>
            <w:bookmarkEnd w:id="63"/>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Materiaalit ja palvelut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4" w:name="XBRL_CS_7f52ddd141f64b9bb551a3604c607344"/>
            <w:bookmarkEnd w:id="64"/>
            <w:bookmarkStart w:id="65" w:name="7f52ddd141f64b9bb551a3604c607344"/>
            <w:r>
              <w:rPr>
                <w:rFonts w:ascii="Arial" w:eastAsia="Arial" w:hAnsi="Arial" w:cs="Arial"/>
                <w:b/>
                <w:i w:val="0"/>
                <w:strike w:val="0"/>
                <w:color w:val="000000"/>
                <w:sz w:val="13"/>
                <w:u w:val="none"/>
                <w:vertAlign w:val="baseline"/>
              </w:rPr>
              <w:t>-2 551</w:t>
            </w:r>
            <w:bookmarkStart w:id="66" w:name="XBRL_CE_7f52ddd141f64b9bb551a3604c607344"/>
            <w:bookmarkEnd w:id="65"/>
            <w:bookmarkEnd w:id="66"/>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7" w:name="XBRL_CS_7a87ba7df894447799a79a4f9eba5c70"/>
            <w:bookmarkEnd w:id="67"/>
            <w:bookmarkStart w:id="68" w:name="7a87ba7df894447799a79a4f9eba5c70"/>
            <w:r>
              <w:rPr>
                <w:rFonts w:ascii="Arial" w:eastAsia="Arial" w:hAnsi="Arial" w:cs="Arial"/>
                <w:b w:val="0"/>
                <w:i w:val="0"/>
                <w:strike w:val="0"/>
                <w:color w:val="000000"/>
                <w:sz w:val="13"/>
                <w:u w:val="none"/>
                <w:vertAlign w:val="baseline"/>
              </w:rPr>
              <w:t>-3 003</w:t>
            </w:r>
            <w:bookmarkStart w:id="69" w:name="XBRL_CE_7a87ba7df894447799a79a4f9eba5c70"/>
            <w:bookmarkEnd w:id="68"/>
            <w:bookmarkEnd w:id="69"/>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Työsuhde-etuuksista aiheutuvat kulut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0" w:name="XBRL_CS_d728b76871164e67b9f00e3dde88a9fd"/>
            <w:bookmarkEnd w:id="70"/>
            <w:bookmarkStart w:id="71" w:name="d728b76871164e67b9f00e3dde88a9fd"/>
            <w:r>
              <w:rPr>
                <w:rFonts w:ascii="Arial" w:eastAsia="Arial" w:hAnsi="Arial" w:cs="Arial"/>
                <w:b/>
                <w:i w:val="0"/>
                <w:strike w:val="0"/>
                <w:color w:val="000000"/>
                <w:sz w:val="13"/>
                <w:u w:val="none"/>
                <w:vertAlign w:val="baseline"/>
              </w:rPr>
              <w:t>-1 192</w:t>
            </w:r>
            <w:bookmarkStart w:id="72" w:name="XBRL_CE_d728b76871164e67b9f00e3dde88a9fd"/>
            <w:bookmarkEnd w:id="71"/>
            <w:bookmarkEnd w:id="72"/>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3" w:name="XBRL_CS_47c6b1ff7126441ab9d9ca442e9e87b7"/>
            <w:bookmarkEnd w:id="73"/>
            <w:bookmarkStart w:id="74" w:name="47c6b1ff7126441ab9d9ca442e9e87b7"/>
            <w:r>
              <w:rPr>
                <w:rFonts w:ascii="Arial" w:eastAsia="Arial" w:hAnsi="Arial" w:cs="Arial"/>
                <w:b w:val="0"/>
                <w:i w:val="0"/>
                <w:strike w:val="0"/>
                <w:color w:val="000000"/>
                <w:sz w:val="13"/>
                <w:u w:val="none"/>
                <w:vertAlign w:val="baseline"/>
              </w:rPr>
              <w:t>-1 260</w:t>
            </w:r>
            <w:bookmarkStart w:id="75" w:name="XBRL_CE_47c6b1ff7126441ab9d9ca442e9e87b7"/>
            <w:bookmarkEnd w:id="74"/>
            <w:bookmarkEnd w:id="75"/>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Tuotot nettopositioiden suojista</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6" w:name="XBRL_CS_c7c9070d4ec34a08902b97c029fd5990"/>
            <w:bookmarkEnd w:id="76"/>
            <w:bookmarkStart w:id="77" w:name="c7c9070d4ec34a08902b97c029fd5990"/>
            <w:r>
              <w:rPr>
                <w:rFonts w:ascii="Arial" w:eastAsia="Arial" w:hAnsi="Arial" w:cs="Arial"/>
                <w:b/>
                <w:i w:val="0"/>
                <w:strike w:val="0"/>
                <w:color w:val="000000"/>
                <w:sz w:val="13"/>
                <w:u w:val="none"/>
                <w:vertAlign w:val="baseline"/>
              </w:rPr>
              <w:t>-1</w:t>
            </w:r>
            <w:bookmarkStart w:id="78" w:name="XBRL_CE_c7c9070d4ec34a08902b97c029fd5990"/>
            <w:bookmarkEnd w:id="77"/>
            <w:bookmarkEnd w:id="78"/>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9" w:name="XBRL_CS_33cd3af9cb724d3f8752b6b39e8cdac1"/>
            <w:bookmarkEnd w:id="79"/>
            <w:bookmarkStart w:id="80" w:name="33cd3af9cb724d3f8752b6b39e8cdac1"/>
            <w:r>
              <w:rPr>
                <w:rFonts w:ascii="Arial" w:eastAsia="Arial" w:hAnsi="Arial" w:cs="Arial"/>
                <w:b/>
                <w:i w:val="0"/>
                <w:strike w:val="0"/>
                <w:color w:val="000000"/>
                <w:sz w:val="13"/>
                <w:u w:val="none"/>
                <w:vertAlign w:val="baseline"/>
              </w:rPr>
              <w:t>-174</w:t>
            </w:r>
            <w:bookmarkStart w:id="81" w:name="XBRL_CE_33cd3af9cb724d3f8752b6b39e8cdac1"/>
            <w:bookmarkEnd w:id="80"/>
            <w:bookmarkEnd w:id="81"/>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2" w:name="XBRL_CS_cdb0c4a6f63c4ce78fc97664606ca38b"/>
            <w:bookmarkEnd w:id="82"/>
            <w:bookmarkStart w:id="83" w:name="cdb0c4a6f63c4ce78fc97664606ca38b"/>
            <w:r>
              <w:rPr>
                <w:rFonts w:ascii="Arial" w:eastAsia="Arial" w:hAnsi="Arial" w:cs="Arial"/>
                <w:b w:val="0"/>
                <w:i w:val="0"/>
                <w:strike w:val="0"/>
                <w:color w:val="000000"/>
                <w:sz w:val="13"/>
                <w:u w:val="none"/>
                <w:vertAlign w:val="baseline"/>
              </w:rPr>
              <w:t>-180</w:t>
            </w:r>
            <w:bookmarkStart w:id="84" w:name="XBRL_CE_cdb0c4a6f63c4ce78fc97664606ca38b"/>
            <w:bookmarkEnd w:id="83"/>
            <w:bookmarkEnd w:id="84"/>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Liiketoiminnan muut kulut</w:t>
            </w:r>
          </w:p>
        </w:tc>
        <w:tc>
          <w:tcPr>
            <w:tcW w:w="120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85" w:name="XBRL_CS_2b2af4caf0f9446c8f4f5efe332b479e"/>
            <w:bookmarkEnd w:id="85"/>
            <w:bookmarkStart w:id="86" w:name="2b2af4caf0f9446c8f4f5efe332b479e"/>
            <w:r>
              <w:rPr>
                <w:rFonts w:ascii="Arial" w:eastAsia="Arial" w:hAnsi="Arial" w:cs="Arial"/>
                <w:b/>
                <w:i w:val="0"/>
                <w:strike w:val="0"/>
                <w:color w:val="000000"/>
                <w:sz w:val="13"/>
                <w:u w:val="none"/>
                <w:vertAlign w:val="baseline"/>
              </w:rPr>
              <w:t>-431</w:t>
            </w:r>
            <w:bookmarkStart w:id="87" w:name="XBRL_CE_2b2af4caf0f9446c8f4f5efe332b479e"/>
            <w:bookmarkEnd w:id="86"/>
            <w:bookmarkEnd w:id="87"/>
          </w:p>
        </w:tc>
        <w:tc>
          <w:tcPr>
            <w:tcW w:w="120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8" w:name="XBRL_CS_cf793b614c7e41c1a1c03534a4e119e8"/>
            <w:bookmarkEnd w:id="88"/>
            <w:bookmarkStart w:id="89" w:name="cf793b614c7e41c1a1c03534a4e119e8"/>
            <w:r>
              <w:rPr>
                <w:rFonts w:ascii="Arial" w:eastAsia="Arial" w:hAnsi="Arial" w:cs="Arial"/>
                <w:b w:val="0"/>
                <w:i w:val="0"/>
                <w:strike w:val="0"/>
                <w:color w:val="000000"/>
                <w:sz w:val="13"/>
                <w:u w:val="none"/>
                <w:vertAlign w:val="baseline"/>
              </w:rPr>
              <w:t>-578</w:t>
            </w:r>
            <w:bookmarkStart w:id="90" w:name="XBRL_CE_cf793b614c7e41c1a1c03534a4e119e8"/>
            <w:bookmarkEnd w:id="89"/>
            <w:bookmarkEnd w:id="90"/>
          </w:p>
        </w:tc>
        <w:tc>
          <w:tcPr>
            <w:tcW w:w="108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Osuus osakkuus- ja yhteisyritysten tuloksista</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1" w:name="XBRL_CS_c63a93ba36b74759b23269025b3ce449"/>
            <w:bookmarkEnd w:id="91"/>
            <w:bookmarkStart w:id="92" w:name="c63a93ba36b74759b23269025b3ce449"/>
            <w:r>
              <w:rPr>
                <w:rFonts w:ascii="Arial" w:eastAsia="Arial" w:hAnsi="Arial" w:cs="Arial"/>
                <w:b/>
                <w:i w:val="0"/>
                <w:strike w:val="0"/>
                <w:color w:val="000000"/>
                <w:sz w:val="13"/>
                <w:u w:val="none"/>
                <w:vertAlign w:val="baseline"/>
              </w:rPr>
              <w:t>3</w:t>
            </w:r>
            <w:bookmarkStart w:id="93" w:name="XBRL_CE_c63a93ba36b74759b23269025b3ce449"/>
            <w:bookmarkEnd w:id="92"/>
            <w:bookmarkEnd w:id="93"/>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4" w:name="XBRL_CS_94f82194195c437fa44993d47c824930"/>
            <w:bookmarkEnd w:id="94"/>
            <w:bookmarkStart w:id="95" w:name="94f82194195c437fa44993d47c824930"/>
            <w:r>
              <w:rPr>
                <w:rFonts w:ascii="Arial" w:eastAsia="Arial" w:hAnsi="Arial" w:cs="Arial"/>
                <w:b w:val="0"/>
                <w:i w:val="0"/>
                <w:strike w:val="0"/>
                <w:color w:val="000000"/>
                <w:sz w:val="13"/>
                <w:u w:val="none"/>
                <w:vertAlign w:val="baseline"/>
              </w:rPr>
              <w:t>-9</w:t>
            </w:r>
            <w:bookmarkStart w:id="96" w:name="XBRL_CE_94f82194195c437fa44993d47c824930"/>
            <w:bookmarkEnd w:id="95"/>
            <w:bookmarkEnd w:id="96"/>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Liiketulos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7" w:name="XBRL_CS_1f15dc89e2174488b1602b935e1e9fc0"/>
            <w:bookmarkEnd w:id="97"/>
            <w:bookmarkStart w:id="98" w:name="1f15dc89e2174488b1602b935e1e9fc0"/>
            <w:r>
              <w:rPr>
                <w:rFonts w:ascii="Arial" w:eastAsia="Arial" w:hAnsi="Arial" w:cs="Arial"/>
                <w:b/>
                <w:i w:val="0"/>
                <w:strike w:val="0"/>
                <w:color w:val="000000"/>
                <w:sz w:val="13"/>
                <w:u w:val="none"/>
                <w:vertAlign w:val="baseline"/>
              </w:rPr>
              <w:t>234</w:t>
            </w:r>
            <w:bookmarkStart w:id="99" w:name="XBRL_CE_1f15dc89e2174488b1602b935e1e9fc0"/>
            <w:bookmarkEnd w:id="98"/>
            <w:bookmarkEnd w:id="99"/>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00" w:name="XBRL_CS_89cbb313e8b246d8902484c68c2460fb"/>
            <w:bookmarkEnd w:id="100"/>
            <w:bookmarkStart w:id="101" w:name="89cbb313e8b246d8902484c68c2460fb"/>
            <w:r>
              <w:rPr>
                <w:rFonts w:ascii="Arial" w:eastAsia="Arial" w:hAnsi="Arial" w:cs="Arial"/>
                <w:b w:val="0"/>
                <w:i w:val="0"/>
                <w:strike w:val="0"/>
                <w:color w:val="000000"/>
                <w:sz w:val="13"/>
                <w:u w:val="none"/>
                <w:vertAlign w:val="baseline"/>
              </w:rPr>
              <w:t>362</w:t>
            </w:r>
            <w:bookmarkStart w:id="102" w:name="XBRL_CE_89cbb313e8b246d8902484c68c2460fb"/>
            <w:bookmarkEnd w:id="101"/>
            <w:bookmarkEnd w:id="102"/>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prosentteina liikevaihdosta</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3" w:name="XBRL_CS_c336c4f02fa94eb4ae4c0c7c825d0c72"/>
            <w:bookmarkEnd w:id="103"/>
            <w:bookmarkStart w:id="104" w:name="c336c4f02fa94eb4ae4c0c7c825d0c72"/>
            <w:r>
              <w:rPr>
                <w:rFonts w:ascii="Arial" w:eastAsia="Arial" w:hAnsi="Arial" w:cs="Arial"/>
                <w:b/>
                <w:i w:val="0"/>
                <w:strike w:val="0"/>
                <w:color w:val="000000"/>
                <w:sz w:val="13"/>
                <w:u w:val="none"/>
                <w:vertAlign w:val="baseline"/>
              </w:rPr>
              <w:t>5,1</w:t>
            </w:r>
            <w:bookmarkStart w:id="105" w:name="XBRL_CE_c336c4f02fa94eb4ae4c0c7c825d0c72"/>
            <w:bookmarkEnd w:id="104"/>
            <w:bookmarkEnd w:id="105"/>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06" w:name="XBRL_CS_3a976e30d0ad4a608642eded5a25e6c8"/>
            <w:bookmarkEnd w:id="106"/>
            <w:bookmarkStart w:id="107" w:name="3a976e30d0ad4a608642eded5a25e6c8"/>
            <w:r>
              <w:rPr>
                <w:rFonts w:ascii="Arial" w:eastAsia="Arial" w:hAnsi="Arial" w:cs="Arial"/>
                <w:b w:val="0"/>
                <w:i w:val="0"/>
                <w:strike w:val="0"/>
                <w:color w:val="000000"/>
                <w:sz w:val="13"/>
                <w:u w:val="none"/>
                <w:vertAlign w:val="baseline"/>
              </w:rPr>
              <w:t>7,0</w:t>
            </w:r>
            <w:bookmarkStart w:id="108" w:name="XBRL_CE_3a976e30d0ad4a608642eded5a25e6c8"/>
            <w:bookmarkEnd w:id="107"/>
            <w:bookmarkEnd w:id="108"/>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Rahoitustuotot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9" w:name="XBRL_CS_da92fec1a2ae43c3a984355a210774fe"/>
            <w:bookmarkEnd w:id="109"/>
            <w:bookmarkStart w:id="110" w:name="da92fec1a2ae43c3a984355a210774fe"/>
            <w:r>
              <w:rPr>
                <w:rFonts w:ascii="Arial" w:eastAsia="Arial" w:hAnsi="Arial" w:cs="Arial"/>
                <w:b/>
                <w:i w:val="0"/>
                <w:strike w:val="0"/>
                <w:color w:val="000000"/>
                <w:sz w:val="13"/>
                <w:u w:val="none"/>
                <w:vertAlign w:val="baseline"/>
              </w:rPr>
              <w:t>16</w:t>
            </w:r>
            <w:bookmarkStart w:id="111" w:name="XBRL_CE_da92fec1a2ae43c3a984355a210774fe"/>
            <w:bookmarkEnd w:id="110"/>
            <w:bookmarkEnd w:id="111"/>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2" w:name="XBRL_CS_a7a20b4683d54712a009531a2720673d"/>
            <w:bookmarkEnd w:id="112"/>
            <w:bookmarkStart w:id="113" w:name="a7a20b4683d54712a009531a2720673d"/>
            <w:r>
              <w:rPr>
                <w:rFonts w:ascii="Arial" w:eastAsia="Arial" w:hAnsi="Arial" w:cs="Arial"/>
                <w:b w:val="0"/>
                <w:i w:val="0"/>
                <w:strike w:val="0"/>
                <w:color w:val="000000"/>
                <w:sz w:val="13"/>
                <w:u w:val="none"/>
                <w:vertAlign w:val="baseline"/>
              </w:rPr>
              <w:t>27</w:t>
            </w:r>
            <w:bookmarkStart w:id="114" w:name="XBRL_CE_a7a20b4683d54712a009531a2720673d"/>
            <w:bookmarkEnd w:id="113"/>
            <w:bookmarkEnd w:id="114"/>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Rahoituskulut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15" w:name="XBRL_CS_c6c64b1bc26e4a97a540e19431c9fa4c"/>
            <w:bookmarkEnd w:id="115"/>
            <w:bookmarkStart w:id="116" w:name="c6c64b1bc26e4a97a540e19431c9fa4c"/>
            <w:r>
              <w:rPr>
                <w:rFonts w:ascii="Arial" w:eastAsia="Arial" w:hAnsi="Arial" w:cs="Arial"/>
                <w:b/>
                <w:i w:val="0"/>
                <w:strike w:val="0"/>
                <w:color w:val="000000"/>
                <w:sz w:val="13"/>
                <w:u w:val="none"/>
                <w:vertAlign w:val="baseline"/>
              </w:rPr>
              <w:t>-59</w:t>
            </w:r>
            <w:bookmarkStart w:id="117" w:name="XBRL_CE_c6c64b1bc26e4a97a540e19431c9fa4c"/>
            <w:bookmarkEnd w:id="116"/>
            <w:bookmarkEnd w:id="117"/>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18" w:name="XBRL_CS_f4940da6aa984e73a7b06328d5318c20"/>
            <w:bookmarkEnd w:id="118"/>
            <w:bookmarkStart w:id="119" w:name="f4940da6aa984e73a7b06328d5318c20"/>
            <w:r>
              <w:rPr>
                <w:rFonts w:ascii="Arial" w:eastAsia="Arial" w:hAnsi="Arial" w:cs="Arial"/>
                <w:b w:val="0"/>
                <w:i w:val="0"/>
                <w:strike w:val="0"/>
                <w:color w:val="000000"/>
                <w:sz w:val="13"/>
                <w:u w:val="none"/>
                <w:vertAlign w:val="baseline"/>
              </w:rPr>
              <w:t>-74</w:t>
            </w:r>
            <w:bookmarkStart w:id="120" w:name="XBRL_CE_f4940da6aa984e73a7b06328d5318c20"/>
            <w:bookmarkEnd w:id="119"/>
            <w:bookmarkEnd w:id="120"/>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 ennen veroja</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21" w:name="XBRL_CS_96a13edc12024ac49f0ac68671de5d65"/>
            <w:bookmarkEnd w:id="121"/>
            <w:bookmarkStart w:id="122" w:name="96a13edc12024ac49f0ac68671de5d65"/>
            <w:r>
              <w:rPr>
                <w:rFonts w:ascii="Arial" w:eastAsia="Arial" w:hAnsi="Arial" w:cs="Arial"/>
                <w:b/>
                <w:i w:val="0"/>
                <w:strike w:val="0"/>
                <w:color w:val="000000"/>
                <w:sz w:val="13"/>
                <w:u w:val="none"/>
                <w:vertAlign w:val="baseline"/>
              </w:rPr>
              <w:t>191</w:t>
            </w:r>
            <w:bookmarkStart w:id="123" w:name="XBRL_CE_96a13edc12024ac49f0ac68671de5d65"/>
            <w:bookmarkEnd w:id="122"/>
            <w:bookmarkEnd w:id="123"/>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24" w:name="XBRL_CS_9238f75578204fa3a2f83ba8e1c87f15"/>
            <w:bookmarkEnd w:id="124"/>
            <w:bookmarkStart w:id="125" w:name="9238f75578204fa3a2f83ba8e1c87f15"/>
            <w:r>
              <w:rPr>
                <w:rFonts w:ascii="Arial" w:eastAsia="Arial" w:hAnsi="Arial" w:cs="Arial"/>
                <w:b w:val="0"/>
                <w:i w:val="0"/>
                <w:strike w:val="0"/>
                <w:color w:val="000000"/>
                <w:sz w:val="13"/>
                <w:u w:val="none"/>
                <w:vertAlign w:val="baseline"/>
              </w:rPr>
              <w:t>315</w:t>
            </w:r>
            <w:bookmarkStart w:id="126" w:name="XBRL_CE_9238f75578204fa3a2f83ba8e1c87f15"/>
            <w:bookmarkEnd w:id="125"/>
            <w:bookmarkEnd w:id="126"/>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Tuloverot</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27" w:name="XBRL_CS_a82eadc9a7714316a3170a4c56bb22df"/>
            <w:bookmarkEnd w:id="127"/>
            <w:bookmarkStart w:id="128" w:name="a82eadc9a7714316a3170a4c56bb22df"/>
            <w:r>
              <w:rPr>
                <w:rFonts w:ascii="Arial" w:eastAsia="Arial" w:hAnsi="Arial" w:cs="Arial"/>
                <w:b/>
                <w:i w:val="0"/>
                <w:strike w:val="0"/>
                <w:color w:val="000000"/>
                <w:sz w:val="13"/>
                <w:u w:val="none"/>
                <w:vertAlign w:val="baseline"/>
              </w:rPr>
              <w:t>-58</w:t>
            </w:r>
            <w:bookmarkStart w:id="129" w:name="XBRL_CE_a82eadc9a7714316a3170a4c56bb22df"/>
            <w:bookmarkEnd w:id="128"/>
            <w:bookmarkEnd w:id="129"/>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0" w:name="XBRL_CS_a5c33a12be4d458c8b225138f258504d"/>
            <w:bookmarkEnd w:id="130"/>
            <w:bookmarkStart w:id="131" w:name="a5c33a12be4d458c8b225138f258504d"/>
            <w:r>
              <w:rPr>
                <w:rFonts w:ascii="Arial" w:eastAsia="Arial" w:hAnsi="Arial" w:cs="Arial"/>
                <w:b w:val="0"/>
                <w:i w:val="0"/>
                <w:strike w:val="0"/>
                <w:color w:val="000000"/>
                <w:sz w:val="13"/>
                <w:u w:val="none"/>
                <w:vertAlign w:val="baseline"/>
              </w:rPr>
              <w:t>-97</w:t>
            </w:r>
            <w:bookmarkStart w:id="132" w:name="XBRL_CE_a5c33a12be4d458c8b225138f258504d"/>
            <w:bookmarkEnd w:id="131"/>
            <w:bookmarkEnd w:id="132"/>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Tilikauden tulos</w:t>
            </w:r>
          </w:p>
        </w:tc>
        <w:tc>
          <w:tcPr>
            <w:tcW w:w="120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33" w:name="XBRL_CS_9d57b394652d4fcba2c95c077aaa649c"/>
            <w:bookmarkEnd w:id="133"/>
            <w:bookmarkStart w:id="134" w:name="9d57b394652d4fcba2c95c077aaa649c"/>
            <w:r>
              <w:rPr>
                <w:rFonts w:ascii="Arial" w:eastAsia="Arial" w:hAnsi="Arial" w:cs="Arial"/>
                <w:b/>
                <w:i w:val="0"/>
                <w:strike w:val="0"/>
                <w:color w:val="000000"/>
                <w:sz w:val="13"/>
                <w:u w:val="none"/>
                <w:vertAlign w:val="baseline"/>
              </w:rPr>
              <w:t>133</w:t>
            </w:r>
            <w:bookmarkStart w:id="135" w:name="XBRL_CE_9d57b394652d4fcba2c95c077aaa649c"/>
            <w:bookmarkEnd w:id="134"/>
            <w:bookmarkEnd w:id="135"/>
          </w:p>
        </w:tc>
        <w:tc>
          <w:tcPr>
            <w:tcW w:w="120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36" w:name="XBRL_CS_0fd6060633d145c793892c8eb0d1e8d8"/>
            <w:bookmarkEnd w:id="136"/>
            <w:bookmarkStart w:id="137" w:name="0fd6060633d145c793892c8eb0d1e8d8"/>
            <w:r>
              <w:rPr>
                <w:rFonts w:ascii="Arial" w:eastAsia="Arial" w:hAnsi="Arial" w:cs="Arial"/>
                <w:b w:val="0"/>
                <w:i w:val="0"/>
                <w:strike w:val="0"/>
                <w:color w:val="000000"/>
                <w:sz w:val="13"/>
                <w:u w:val="none"/>
                <w:vertAlign w:val="baseline"/>
              </w:rPr>
              <w:t>218</w:t>
            </w:r>
            <w:bookmarkStart w:id="138" w:name="XBRL_CE_0fd6060633d145c793892c8eb0d1e8d8"/>
            <w:bookmarkEnd w:id="137"/>
            <w:bookmarkEnd w:id="138"/>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Jakautuminen:</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emoyhtiön osakkeenomistajat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39" w:name="XBRL_CS_cc5b9aab9cb941629c0e8a5a720a3262"/>
            <w:bookmarkEnd w:id="139"/>
            <w:bookmarkStart w:id="140" w:name="cc5b9aab9cb941629c0e8a5a720a3262"/>
            <w:r>
              <w:rPr>
                <w:rFonts w:ascii="Arial" w:eastAsia="Arial" w:hAnsi="Arial" w:cs="Arial"/>
                <w:b/>
                <w:i w:val="0"/>
                <w:strike w:val="0"/>
                <w:color w:val="000000"/>
                <w:sz w:val="13"/>
                <w:u w:val="none"/>
                <w:vertAlign w:val="baseline"/>
              </w:rPr>
              <w:t>134</w:t>
            </w:r>
            <w:bookmarkStart w:id="141" w:name="XBRL_CE_cc5b9aab9cb941629c0e8a5a720a3262"/>
            <w:bookmarkEnd w:id="140"/>
            <w:bookmarkEnd w:id="141"/>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2" w:name="XBRL_CS_eb50c303419546738d6a944b08225b9a"/>
            <w:bookmarkEnd w:id="142"/>
            <w:bookmarkStart w:id="143" w:name="eb50c303419546738d6a944b08225b9a"/>
            <w:r>
              <w:rPr>
                <w:rFonts w:ascii="Arial" w:eastAsia="Arial" w:hAnsi="Arial" w:cs="Arial"/>
                <w:b w:val="0"/>
                <w:i w:val="0"/>
                <w:strike w:val="0"/>
                <w:color w:val="000000"/>
                <w:sz w:val="13"/>
                <w:u w:val="none"/>
                <w:vertAlign w:val="baseline"/>
              </w:rPr>
              <w:t>217</w:t>
            </w:r>
            <w:bookmarkStart w:id="144" w:name="XBRL_CE_eb50c303419546738d6a944b08225b9a"/>
            <w:bookmarkEnd w:id="143"/>
            <w:bookmarkEnd w:id="144"/>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määräysvallattomat omistajat</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45" w:name="XBRL_CS_db3fdb93c8dd4de6a1bc37a7f8f6a70f"/>
            <w:bookmarkEnd w:id="145"/>
            <w:bookmarkStart w:id="146" w:name="db3fdb93c8dd4de6a1bc37a7f8f6a70f"/>
            <w:r>
              <w:rPr>
                <w:rFonts w:ascii="Arial" w:eastAsia="Arial" w:hAnsi="Arial" w:cs="Arial"/>
                <w:b/>
                <w:i w:val="0"/>
                <w:strike w:val="0"/>
                <w:color w:val="000000"/>
                <w:sz w:val="13"/>
                <w:u w:val="none"/>
                <w:vertAlign w:val="baseline"/>
              </w:rPr>
              <w:t>-1</w:t>
            </w:r>
            <w:bookmarkStart w:id="147" w:name="XBRL_CE_db3fdb93c8dd4de6a1bc37a7f8f6a70f"/>
            <w:bookmarkEnd w:id="146"/>
            <w:bookmarkEnd w:id="147"/>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48" w:name="XBRL_CS_37292ea6befa4422924c816db298395f"/>
            <w:bookmarkEnd w:id="148"/>
            <w:bookmarkStart w:id="149" w:name="37292ea6befa4422924c816db298395f"/>
            <w:r>
              <w:rPr>
                <w:rFonts w:ascii="Arial" w:eastAsia="Arial" w:hAnsi="Arial" w:cs="Arial"/>
                <w:b w:val="0"/>
                <w:i w:val="0"/>
                <w:strike w:val="0"/>
                <w:color w:val="000000"/>
                <w:sz w:val="13"/>
                <w:u w:val="none"/>
                <w:vertAlign w:val="baseline"/>
              </w:rPr>
              <w:t>1</w:t>
            </w:r>
            <w:bookmarkStart w:id="150" w:name="XBRL_CE_37292ea6befa4422924c816db298395f"/>
            <w:bookmarkEnd w:id="149"/>
            <w:bookmarkEnd w:id="150"/>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51" w:name="XBRL_CS_d7a6a8054d9241c4bd534007bec8505b"/>
            <w:bookmarkEnd w:id="151"/>
            <w:bookmarkStart w:id="152" w:name="d7a6a8054d9241c4bd534007bec8505b"/>
            <w:r>
              <w:rPr>
                <w:rFonts w:ascii="Arial" w:eastAsia="Arial" w:hAnsi="Arial" w:cs="Arial"/>
                <w:b/>
                <w:i w:val="0"/>
                <w:strike w:val="0"/>
                <w:color w:val="000000"/>
                <w:sz w:val="13"/>
                <w:u w:val="none"/>
                <w:vertAlign w:val="baseline"/>
              </w:rPr>
              <w:t>133</w:t>
            </w:r>
            <w:bookmarkStart w:id="153" w:name="XBRL_CE_d7a6a8054d9241c4bd534007bec8505b"/>
            <w:bookmarkEnd w:id="152"/>
            <w:bookmarkEnd w:id="153"/>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54" w:name="XBRL_CS_04d0742f72b04ab6bed859ccd62b1abf"/>
            <w:bookmarkEnd w:id="154"/>
            <w:bookmarkStart w:id="155" w:name="04d0742f72b04ab6bed859ccd62b1abf"/>
            <w:r>
              <w:rPr>
                <w:rFonts w:ascii="Arial" w:eastAsia="Arial" w:hAnsi="Arial" w:cs="Arial"/>
                <w:b w:val="0"/>
                <w:i w:val="0"/>
                <w:strike w:val="0"/>
                <w:color w:val="000000"/>
                <w:sz w:val="13"/>
                <w:u w:val="none"/>
                <w:vertAlign w:val="baseline"/>
              </w:rPr>
              <w:t>218</w:t>
            </w:r>
            <w:bookmarkStart w:id="156" w:name="XBRL_CE_04d0742f72b04ab6bed859ccd62b1abf"/>
            <w:bookmarkEnd w:id="155"/>
            <w:bookmarkEnd w:id="156"/>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Emoyhtiön osakkeenomistajille kuuluva osakekohtainen tulos (laimentamaton ja laimennettu):</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Tulos/osake (EPS), laimentamaton ja laimennettu, euroa</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57" w:name="XBRL_CS_255e214facb2405784c1d18274b3b057"/>
            <w:bookmarkEnd w:id="157"/>
            <w:bookmarkStart w:id="158" w:name="255e214facb2405784c1d18274b3b057"/>
            <w:r>
              <w:rPr>
                <w:rFonts w:ascii="Arial" w:eastAsia="Arial" w:hAnsi="Arial" w:cs="Arial"/>
                <w:b/>
                <w:i w:val="0"/>
                <w:strike w:val="0"/>
                <w:color w:val="000000"/>
                <w:sz w:val="13"/>
                <w:u w:val="none"/>
                <w:vertAlign w:val="baseline"/>
              </w:rPr>
              <w:t>0,23</w:t>
            </w:r>
            <w:bookmarkStart w:id="159" w:name="XBRL_CE_255e214facb2405784c1d18274b3b057"/>
            <w:bookmarkEnd w:id="158"/>
            <w:bookmarkEnd w:id="159"/>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60" w:name="XBRL_CS_57c5c3edbd344c0ea994b9691546e503"/>
            <w:bookmarkEnd w:id="160"/>
            <w:bookmarkStart w:id="161" w:name="57c5c3edbd344c0ea994b9691546e503"/>
            <w:r>
              <w:rPr>
                <w:rFonts w:ascii="Arial" w:eastAsia="Arial" w:hAnsi="Arial" w:cs="Arial"/>
                <w:b w:val="0"/>
                <w:i w:val="0"/>
                <w:strike w:val="0"/>
                <w:color w:val="000000"/>
                <w:sz w:val="13"/>
                <w:u w:val="none"/>
                <w:vertAlign w:val="baseline"/>
              </w:rPr>
              <w:t>0,37</w:t>
            </w:r>
            <w:bookmarkStart w:id="162" w:name="XBRL_CE_57c5c3edbd344c0ea994b9691546e503"/>
            <w:bookmarkEnd w:id="161"/>
            <w:bookmarkEnd w:id="162"/>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2.7.</w:t>
            </w:r>
          </w:p>
        </w:tc>
      </w:tr>
    </w:tbl>
    <w:p w:rsidR="00573F67" w:rsidP="007579DC" w14:paraId="1D9511CA" w14:textId="77777777">
      <w:pPr>
        <w:pStyle w:val="Bodytext2"/>
        <w:rPr>
          <w:lang w:val="fi-FI"/>
        </w:rPr>
      </w:pPr>
      <w:bookmarkStart w:id="163" w:name="RG_MARKER_4684"/>
      <w:bookmarkEnd w:id="163"/>
    </w:p>
    <w:p w:rsidR="004A0DF2" w:rsidRPr="007579DC" w:rsidP="007579DC" w14:paraId="6C839A69" w14:textId="24A308CB">
      <w:pPr>
        <w:pStyle w:val="Bodytext2"/>
        <w:rPr>
          <w:sz w:val="2"/>
          <w:szCs w:val="2"/>
          <w:lang w:val="fi-FI"/>
        </w:rPr>
      </w:pPr>
      <w:r w:rsidRPr="007579DC">
        <w:rPr>
          <w:lang w:val="fi-FI"/>
        </w:rPr>
        <w:t>Liitetiedot ovat osa tätä tilinpäätöstä.</w:t>
      </w:r>
      <w:r w:rsidRPr="007579DC">
        <w:rPr>
          <w:sz w:val="2"/>
          <w:szCs w:val="2"/>
          <w:lang w:val="fi-FI"/>
        </w:rPr>
        <w:br w:type="column"/>
      </w:r>
    </w:p>
    <w:p w:rsidR="004A0DF2" w:rsidRPr="002642EE" w:rsidP="00F76959" w14:textId="6E2F0769">
      <w:pPr>
        <w:pStyle w:val="Heading10"/>
      </w:pPr>
      <w:bookmarkStart w:id="164" w:name="RG_MARKER_4685"/>
      <w:r>
        <w:t>LAAJA TULOSLASKELMA</w:t>
      </w:r>
      <w:bookmarkEnd w:id="164"/>
    </w:p>
    <w:p/>
    <w:tbl>
      <w:tblPr>
        <w:tblStyle w:val="CDMRange2"/>
        <w:tblW w:w="7365" w:type="dxa"/>
        <w:tblLayout w:type="fixed"/>
        <w:tblLook w:val="0600"/>
      </w:tblPr>
      <w:tblGrid>
        <w:gridCol w:w="3885"/>
        <w:gridCol w:w="1200"/>
        <w:gridCol w:w="1200"/>
        <w:gridCol w:w="1080"/>
      </w:tblGrid>
      <w:tr>
        <w:tblPrEx>
          <w:tblW w:w="7365" w:type="dxa"/>
          <w:tblLayout w:type="fixed"/>
          <w:tblLook w:val="0600"/>
        </w:tblPrEx>
        <w:trPr>
          <w:trHeight w:hRule="exact" w:val="240"/>
        </w:trPr>
        <w:tc>
          <w:tcPr>
            <w:tcW w:w="38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0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0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Tilikauden tulos</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65" w:name="XBRL_CS_6eed26988d754b3b931c2cf0dff752ff"/>
            <w:bookmarkEnd w:id="165"/>
            <w:bookmarkStart w:id="166" w:name="6eed26988d754b3b931c2cf0dff752ff"/>
            <w:r>
              <w:rPr>
                <w:rFonts w:ascii="Arial" w:eastAsia="Arial" w:hAnsi="Arial" w:cs="Arial"/>
                <w:b/>
                <w:i w:val="0"/>
                <w:strike w:val="0"/>
                <w:color w:val="000000"/>
                <w:sz w:val="13"/>
                <w:u w:val="none"/>
                <w:vertAlign w:val="baseline"/>
              </w:rPr>
              <w:t>133</w:t>
            </w:r>
            <w:bookmarkStart w:id="167" w:name="XBRL_CE_6eed26988d754b3b931c2cf0dff752ff"/>
            <w:bookmarkEnd w:id="166"/>
            <w:bookmarkEnd w:id="167"/>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68" w:name="XBRL_CS_d80703bc62084664bbb5c68a914fdc5d"/>
            <w:bookmarkEnd w:id="168"/>
            <w:bookmarkStart w:id="169" w:name="d80703bc62084664bbb5c68a914fdc5d"/>
            <w:r>
              <w:rPr>
                <w:rFonts w:ascii="Arial" w:eastAsia="Arial" w:hAnsi="Arial" w:cs="Arial"/>
                <w:b w:val="0"/>
                <w:i w:val="0"/>
                <w:strike w:val="0"/>
                <w:color w:val="000000"/>
                <w:sz w:val="13"/>
                <w:u w:val="none"/>
                <w:vertAlign w:val="baseline"/>
              </w:rPr>
              <w:t>218</w:t>
            </w:r>
            <w:bookmarkStart w:id="170" w:name="XBRL_CE_d80703bc62084664bbb5c68a914fdc5d"/>
            <w:bookmarkEnd w:id="169"/>
            <w:bookmarkEnd w:id="170"/>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 laajan tuloksen erät verojen jälkeen:</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Erät, joita ei siirretä tulosvaikutteisiksi</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Etuuspohjaisen nettovelan uudelleenmäärittämisestä johtuvat erät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71" w:name="XBRL_CS_6eb65608de85425cab75a9af7efaa56f"/>
            <w:bookmarkEnd w:id="171"/>
            <w:bookmarkStart w:id="172" w:name="6eb65608de85425cab75a9af7efaa56f"/>
            <w:r>
              <w:rPr>
                <w:rFonts w:ascii="Arial" w:eastAsia="Arial" w:hAnsi="Arial" w:cs="Arial"/>
                <w:b/>
                <w:i w:val="0"/>
                <w:strike w:val="0"/>
                <w:color w:val="000000"/>
                <w:sz w:val="13"/>
                <w:u w:val="none"/>
                <w:vertAlign w:val="baseline"/>
              </w:rPr>
              <w:t>6</w:t>
            </w:r>
            <w:bookmarkStart w:id="173" w:name="XBRL_CE_6eb65608de85425cab75a9af7efaa56f"/>
            <w:bookmarkEnd w:id="172"/>
            <w:bookmarkEnd w:id="173"/>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74" w:name="XBRL_CS_03597aeaf2574891a0a95f166dec9b87"/>
            <w:bookmarkEnd w:id="174"/>
            <w:bookmarkStart w:id="175" w:name="03597aeaf2574891a0a95f166dec9b87"/>
            <w:r>
              <w:rPr>
                <w:rFonts w:ascii="Arial" w:eastAsia="Arial" w:hAnsi="Arial" w:cs="Arial"/>
                <w:b w:val="0"/>
                <w:i w:val="0"/>
                <w:strike w:val="0"/>
                <w:color w:val="000000"/>
                <w:sz w:val="13"/>
                <w:u w:val="none"/>
                <w:vertAlign w:val="baseline"/>
              </w:rPr>
              <w:t>-20</w:t>
            </w:r>
            <w:bookmarkStart w:id="176" w:name="XBRL_CE_03597aeaf2574891a0a95f166dec9b87"/>
            <w:bookmarkEnd w:id="175"/>
            <w:bookmarkEnd w:id="176"/>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Verot eristä, joita ei siirretä tulosvaikutteisiksi</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77" w:name="XBRL_CS_516921627b754c0787747d75ac653f20"/>
            <w:bookmarkEnd w:id="177"/>
            <w:bookmarkStart w:id="178" w:name="516921627b754c0787747d75ac653f20"/>
            <w:r>
              <w:rPr>
                <w:rFonts w:ascii="Arial" w:eastAsia="Arial" w:hAnsi="Arial" w:cs="Arial"/>
                <w:b/>
                <w:i w:val="0"/>
                <w:strike w:val="0"/>
                <w:color w:val="000000"/>
                <w:sz w:val="13"/>
                <w:u w:val="none"/>
                <w:vertAlign w:val="baseline"/>
              </w:rPr>
              <w:t>-1</w:t>
            </w:r>
            <w:bookmarkStart w:id="179" w:name="XBRL_CE_516921627b754c0787747d75ac653f20"/>
            <w:bookmarkEnd w:id="178"/>
            <w:bookmarkEnd w:id="179"/>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80" w:name="XBRL_CS_fe313caa7ec443ba8dcb922b678e1b79"/>
            <w:bookmarkEnd w:id="180"/>
            <w:bookmarkStart w:id="181" w:name="fe313caa7ec443ba8dcb922b678e1b79"/>
            <w:r>
              <w:rPr>
                <w:rFonts w:ascii="Arial" w:eastAsia="Arial" w:hAnsi="Arial" w:cs="Arial"/>
                <w:b w:val="0"/>
                <w:i w:val="0"/>
                <w:strike w:val="0"/>
                <w:color w:val="000000"/>
                <w:sz w:val="13"/>
                <w:u w:val="none"/>
                <w:vertAlign w:val="baseline"/>
              </w:rPr>
              <w:t>5</w:t>
            </w:r>
            <w:bookmarkStart w:id="182" w:name="XBRL_CE_fe313caa7ec443ba8dcb922b678e1b79"/>
            <w:bookmarkEnd w:id="181"/>
            <w:bookmarkEnd w:id="182"/>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Erät, joita ei siirretä tulosvaikutteisiksi, yhteensä</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83" w:name="XBRL_CS_4fd81dcb1f9e4ce39e2496043793ad20"/>
            <w:bookmarkEnd w:id="183"/>
            <w:bookmarkStart w:id="184" w:name="4fd81dcb1f9e4ce39e2496043793ad20"/>
            <w:r>
              <w:rPr>
                <w:rFonts w:ascii="Arial" w:eastAsia="Arial" w:hAnsi="Arial" w:cs="Arial"/>
                <w:b/>
                <w:i w:val="0"/>
                <w:strike w:val="0"/>
                <w:color w:val="000000"/>
                <w:sz w:val="13"/>
                <w:u w:val="none"/>
                <w:vertAlign w:val="baseline"/>
              </w:rPr>
              <w:t>5</w:t>
            </w:r>
            <w:bookmarkStart w:id="185" w:name="XBRL_CE_4fd81dcb1f9e4ce39e2496043793ad20"/>
            <w:bookmarkEnd w:id="184"/>
            <w:bookmarkEnd w:id="185"/>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86" w:name="XBRL_CS_fb0fef97c8524a6b8154255eac6bb36b"/>
            <w:bookmarkEnd w:id="186"/>
            <w:bookmarkStart w:id="187" w:name="fb0fef97c8524a6b8154255eac6bb36b"/>
            <w:r>
              <w:rPr>
                <w:rFonts w:ascii="Arial" w:eastAsia="Arial" w:hAnsi="Arial" w:cs="Arial"/>
                <w:b w:val="0"/>
                <w:i w:val="0"/>
                <w:strike w:val="0"/>
                <w:color w:val="000000"/>
                <w:sz w:val="13"/>
                <w:u w:val="none"/>
                <w:vertAlign w:val="baseline"/>
              </w:rPr>
              <w:t>-16</w:t>
            </w:r>
            <w:bookmarkStart w:id="188" w:name="XBRL_CE_fb0fef97c8524a6b8154255eac6bb36b"/>
            <w:bookmarkEnd w:id="187"/>
            <w:bookmarkEnd w:id="188"/>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Erät, jotka saatetaan myöhemmin siirtää tulosvaikutteisiksi</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Muuntoerot</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emoyhtiön osakkeenomistajille kuuluva osuus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89" w:name="XBRL_CS_670f5ffb02c94cc08ec0c7d49c68a25d"/>
            <w:bookmarkEnd w:id="189"/>
            <w:bookmarkStart w:id="190" w:name="670f5ffb02c94cc08ec0c7d49c68a25d"/>
            <w:r>
              <w:rPr>
                <w:rFonts w:ascii="Arial" w:eastAsia="Arial" w:hAnsi="Arial" w:cs="Arial"/>
                <w:b/>
                <w:i w:val="0"/>
                <w:strike w:val="0"/>
                <w:color w:val="000000"/>
                <w:sz w:val="13"/>
                <w:u w:val="none"/>
                <w:vertAlign w:val="baseline"/>
              </w:rPr>
              <w:t>-74</w:t>
            </w:r>
            <w:bookmarkStart w:id="191" w:name="XBRL_CE_670f5ffb02c94cc08ec0c7d49c68a25d"/>
            <w:bookmarkEnd w:id="190"/>
            <w:bookmarkEnd w:id="191"/>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192" w:name="XBRL_CS_e1b65fe8e3f447cc9942b6e5b85cd91b"/>
            <w:bookmarkEnd w:id="192"/>
            <w:bookmarkStart w:id="193" w:name="e1b65fe8e3f447cc9942b6e5b85cd91b"/>
            <w:r>
              <w:rPr>
                <w:rFonts w:ascii="Arial" w:eastAsia="Arial" w:hAnsi="Arial" w:cs="Arial"/>
                <w:b w:val="0"/>
                <w:i w:val="0"/>
                <w:strike w:val="0"/>
                <w:color w:val="000000"/>
                <w:sz w:val="13"/>
                <w:u w:val="none"/>
                <w:vertAlign w:val="baseline"/>
              </w:rPr>
              <w:t>42</w:t>
            </w:r>
            <w:bookmarkStart w:id="194" w:name="XBRL_CE_e1b65fe8e3f447cc9942b6e5b85cd91b"/>
            <w:bookmarkEnd w:id="193"/>
            <w:bookmarkEnd w:id="194"/>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määräysvallattomien omistajien osuus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95" w:name="XBRL_CS_ed43eb2f36bf461e8ef83ece66f3791a"/>
            <w:bookmarkEnd w:id="195"/>
            <w:bookmarkStart w:id="196" w:name="ed43eb2f36bf461e8ef83ece66f3791a"/>
            <w:r>
              <w:rPr>
                <w:rFonts w:ascii="Arial" w:eastAsia="Arial" w:hAnsi="Arial" w:cs="Arial"/>
                <w:b/>
                <w:i w:val="0"/>
                <w:strike w:val="0"/>
                <w:color w:val="000000"/>
                <w:sz w:val="13"/>
                <w:u w:val="none"/>
                <w:vertAlign w:val="baseline"/>
              </w:rPr>
              <w:t>-1</w:t>
            </w:r>
            <w:bookmarkStart w:id="197" w:name="XBRL_CE_ed43eb2f36bf461e8ef83ece66f3791a"/>
            <w:bookmarkEnd w:id="196"/>
            <w:bookmarkEnd w:id="197"/>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siirretty tuloslaskelmaan</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98" w:name="XBRL_CS_a6112ecd69fa43e797f7c602271d0914"/>
            <w:bookmarkEnd w:id="198"/>
            <w:bookmarkStart w:id="199" w:name="a6112ecd69fa43e797f7c602271d0914"/>
            <w:r>
              <w:rPr>
                <w:rFonts w:ascii="Arial" w:eastAsia="Arial" w:hAnsi="Arial" w:cs="Arial"/>
                <w:b/>
                <w:i w:val="0"/>
                <w:strike w:val="0"/>
                <w:color w:val="000000"/>
                <w:sz w:val="13"/>
                <w:u w:val="none"/>
                <w:vertAlign w:val="baseline"/>
              </w:rPr>
              <w:t>-6</w:t>
            </w:r>
            <w:bookmarkStart w:id="200" w:name="XBRL_CE_a6112ecd69fa43e797f7c602271d0914"/>
            <w:bookmarkEnd w:id="199"/>
            <w:bookmarkEnd w:id="200"/>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Osakkuus- ja yhteisyritysten osuus laajasta tuloksesta</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01" w:name="XBRL_CS_5232c3918f8245acaf0e05d64fde58a8"/>
            <w:bookmarkEnd w:id="201"/>
            <w:bookmarkStart w:id="202" w:name="5232c3918f8245acaf0e05d64fde58a8"/>
            <w:r>
              <w:rPr>
                <w:rFonts w:ascii="Arial" w:eastAsia="Arial" w:hAnsi="Arial" w:cs="Arial"/>
                <w:b/>
                <w:i w:val="0"/>
                <w:strike w:val="0"/>
                <w:color w:val="000000"/>
                <w:sz w:val="13"/>
                <w:u w:val="none"/>
                <w:vertAlign w:val="baseline"/>
              </w:rPr>
              <w:t>-2</w:t>
            </w:r>
            <w:bookmarkStart w:id="203" w:name="XBRL_CE_5232c3918f8245acaf0e05d64fde58a8"/>
            <w:bookmarkEnd w:id="202"/>
            <w:bookmarkEnd w:id="203"/>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04" w:name="XBRL_CS_fe06667f6eb34307ae223f48d0af4aac"/>
            <w:bookmarkEnd w:id="204"/>
            <w:bookmarkStart w:id="205" w:name="fe06667f6eb34307ae223f48d0af4aac"/>
            <w:r>
              <w:rPr>
                <w:rFonts w:ascii="Arial" w:eastAsia="Arial" w:hAnsi="Arial" w:cs="Arial"/>
                <w:b w:val="0"/>
                <w:i w:val="0"/>
                <w:strike w:val="0"/>
                <w:color w:val="000000"/>
                <w:sz w:val="13"/>
                <w:u w:val="none"/>
                <w:vertAlign w:val="baseline"/>
              </w:rPr>
              <w:t>-1</w:t>
            </w:r>
            <w:bookmarkStart w:id="206" w:name="XBRL_CE_fe06667f6eb34307ae223f48d0af4aac"/>
            <w:bookmarkEnd w:id="205"/>
            <w:bookmarkEnd w:id="206"/>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Rahavirran suojaukset</w:t>
            </w:r>
          </w:p>
        </w:tc>
        <w:tc>
          <w:tcPr>
            <w:tcW w:w="1200"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arvonmuutokset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07" w:name="XBRL_CS_2b2bc83554834d518829e4cca125f3b4"/>
            <w:bookmarkEnd w:id="207"/>
            <w:bookmarkStart w:id="208" w:name="2b2bc83554834d518829e4cca125f3b4"/>
            <w:r>
              <w:rPr>
                <w:rFonts w:ascii="Arial" w:eastAsia="Arial" w:hAnsi="Arial" w:cs="Arial"/>
                <w:b/>
                <w:i w:val="0"/>
                <w:strike w:val="0"/>
                <w:color w:val="000000"/>
                <w:sz w:val="13"/>
                <w:u w:val="none"/>
                <w:vertAlign w:val="baseline"/>
              </w:rPr>
              <w:t>-3</w:t>
            </w:r>
            <w:bookmarkStart w:id="209" w:name="XBRL_CE_2b2bc83554834d518829e4cca125f3b4"/>
            <w:bookmarkEnd w:id="208"/>
            <w:bookmarkEnd w:id="209"/>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10" w:name="XBRL_CS_36e0d8840968423b92267325d347507e"/>
            <w:bookmarkEnd w:id="210"/>
            <w:bookmarkStart w:id="211" w:name="36e0d8840968423b92267325d347507e"/>
            <w:r>
              <w:rPr>
                <w:rFonts w:ascii="Arial" w:eastAsia="Arial" w:hAnsi="Arial" w:cs="Arial"/>
                <w:b w:val="0"/>
                <w:i w:val="0"/>
                <w:strike w:val="0"/>
                <w:color w:val="000000"/>
                <w:sz w:val="13"/>
                <w:u w:val="none"/>
                <w:vertAlign w:val="baseline"/>
              </w:rPr>
              <w:t>4</w:t>
            </w:r>
            <w:bookmarkStart w:id="212" w:name="XBRL_CE_36e0d8840968423b92267325d347507e"/>
            <w:bookmarkEnd w:id="211"/>
            <w:bookmarkEnd w:id="212"/>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siirretty tuloslaskelmaan</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13" w:name="XBRL_CS_a46011f2fddb4c758206379e91bfce9b"/>
            <w:bookmarkEnd w:id="213"/>
            <w:bookmarkStart w:id="214" w:name="a46011f2fddb4c758206379e91bfce9b"/>
            <w:r>
              <w:rPr>
                <w:rFonts w:ascii="Arial" w:eastAsia="Arial" w:hAnsi="Arial" w:cs="Arial"/>
                <w:b/>
                <w:i w:val="0"/>
                <w:strike w:val="0"/>
                <w:color w:val="000000"/>
                <w:sz w:val="13"/>
                <w:u w:val="none"/>
                <w:vertAlign w:val="baseline"/>
              </w:rPr>
              <w:t>6</w:t>
            </w:r>
            <w:bookmarkStart w:id="215" w:name="XBRL_CE_a46011f2fddb4c758206379e91bfce9b"/>
            <w:bookmarkEnd w:id="214"/>
            <w:bookmarkEnd w:id="215"/>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16" w:name="XBRL_CS_fe0e960456d641efb6d98e007b4cdff2"/>
            <w:bookmarkEnd w:id="216"/>
            <w:bookmarkStart w:id="217" w:name="fe0e960456d641efb6d98e007b4cdff2"/>
            <w:r>
              <w:rPr>
                <w:rFonts w:ascii="Arial" w:eastAsia="Arial" w:hAnsi="Arial" w:cs="Arial"/>
                <w:b w:val="0"/>
                <w:i w:val="0"/>
                <w:strike w:val="0"/>
                <w:color w:val="000000"/>
                <w:sz w:val="13"/>
                <w:u w:val="none"/>
                <w:vertAlign w:val="baseline"/>
              </w:rPr>
              <w:t>19</w:t>
            </w:r>
            <w:bookmarkStart w:id="218" w:name="XBRL_CE_fe0e960456d641efb6d98e007b4cdff2"/>
            <w:bookmarkEnd w:id="217"/>
            <w:bookmarkEnd w:id="218"/>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Verot eristä, jotka saatetaan myöhemmin siirtää tulosvaikutteisiksi</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Rahavirran suojaukset</w:t>
            </w:r>
          </w:p>
        </w:tc>
        <w:tc>
          <w:tcPr>
            <w:tcW w:w="1200"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8" w:space="0" w:color="0F172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siirretty tuloslaskelmaan</w:t>
            </w:r>
          </w:p>
        </w:tc>
        <w:tc>
          <w:tcPr>
            <w:tcW w:w="120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19" w:name="XBRL_CS_3ec2b0325a03487ea77a39a21822896b"/>
            <w:bookmarkEnd w:id="219"/>
            <w:bookmarkStart w:id="220" w:name="3ec2b0325a03487ea77a39a21822896b"/>
            <w:r>
              <w:rPr>
                <w:rFonts w:ascii="Arial" w:eastAsia="Arial" w:hAnsi="Arial" w:cs="Arial"/>
                <w:b/>
                <w:i w:val="0"/>
                <w:strike w:val="0"/>
                <w:color w:val="000000"/>
                <w:sz w:val="13"/>
                <w:u w:val="none"/>
                <w:vertAlign w:val="baseline"/>
              </w:rPr>
              <w:t>-1</w:t>
            </w:r>
            <w:bookmarkStart w:id="221" w:name="XBRL_CE_3ec2b0325a03487ea77a39a21822896b"/>
            <w:bookmarkEnd w:id="220"/>
            <w:bookmarkEnd w:id="221"/>
          </w:p>
        </w:tc>
        <w:tc>
          <w:tcPr>
            <w:tcW w:w="120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22" w:name="XBRL_CS_3ed9934bacde40cd9737e8a9b2e6f597"/>
            <w:bookmarkEnd w:id="222"/>
            <w:bookmarkStart w:id="223" w:name="3ed9934bacde40cd9737e8a9b2e6f597"/>
            <w:r>
              <w:rPr>
                <w:rFonts w:ascii="Arial" w:eastAsia="Arial" w:hAnsi="Arial" w:cs="Arial"/>
                <w:b w:val="0"/>
                <w:i w:val="0"/>
                <w:strike w:val="0"/>
                <w:color w:val="000000"/>
                <w:sz w:val="13"/>
                <w:u w:val="none"/>
                <w:vertAlign w:val="baseline"/>
              </w:rPr>
              <w:t>-4</w:t>
            </w:r>
            <w:bookmarkStart w:id="224" w:name="XBRL_CE_3ed9934bacde40cd9737e8a9b2e6f597"/>
            <w:bookmarkEnd w:id="223"/>
            <w:bookmarkEnd w:id="224"/>
          </w:p>
        </w:tc>
        <w:tc>
          <w:tcPr>
            <w:tcW w:w="108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Erät, jotka saatetaan myöhemmin siirtää tulosvaikutteisiksi, yhteensä</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25" w:name="XBRL_CS_31df15d0faf7495bb953cfdccfe7fb0c"/>
            <w:bookmarkEnd w:id="225"/>
            <w:bookmarkStart w:id="226" w:name="31df15d0faf7495bb953cfdccfe7fb0c"/>
            <w:r>
              <w:rPr>
                <w:rFonts w:ascii="Arial" w:eastAsia="Arial" w:hAnsi="Arial" w:cs="Arial"/>
                <w:b/>
                <w:i w:val="0"/>
                <w:strike w:val="0"/>
                <w:color w:val="000000"/>
                <w:sz w:val="13"/>
                <w:u w:val="none"/>
                <w:vertAlign w:val="baseline"/>
              </w:rPr>
              <w:t>-81</w:t>
            </w:r>
            <w:bookmarkStart w:id="227" w:name="XBRL_CE_31df15d0faf7495bb953cfdccfe7fb0c"/>
            <w:bookmarkEnd w:id="226"/>
            <w:bookmarkEnd w:id="227"/>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28" w:name="XBRL_CS_16ecfde25ac64e5db85e43f6cec36dd9"/>
            <w:bookmarkEnd w:id="228"/>
            <w:bookmarkStart w:id="229" w:name="16ecfde25ac64e5db85e43f6cec36dd9"/>
            <w:r>
              <w:rPr>
                <w:rFonts w:ascii="Arial" w:eastAsia="Arial" w:hAnsi="Arial" w:cs="Arial"/>
                <w:b w:val="0"/>
                <w:i w:val="0"/>
                <w:strike w:val="0"/>
                <w:color w:val="000000"/>
                <w:sz w:val="13"/>
                <w:u w:val="none"/>
                <w:vertAlign w:val="baseline"/>
              </w:rPr>
              <w:t>60</w:t>
            </w:r>
            <w:bookmarkStart w:id="230" w:name="XBRL_CE_16ecfde25ac64e5db85e43f6cec36dd9"/>
            <w:bookmarkEnd w:id="229"/>
            <w:bookmarkEnd w:id="230"/>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Tilikauden muut laajan tuloksen erät verojen jälkeen</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31" w:name="XBRL_CS_9d5aa370282c4a45926a1eb1079f5105"/>
            <w:bookmarkEnd w:id="231"/>
            <w:bookmarkStart w:id="232" w:name="9d5aa370282c4a45926a1eb1079f5105"/>
            <w:r>
              <w:rPr>
                <w:rFonts w:ascii="Arial" w:eastAsia="Arial" w:hAnsi="Arial" w:cs="Arial"/>
                <w:b/>
                <w:i w:val="0"/>
                <w:strike w:val="0"/>
                <w:color w:val="000000"/>
                <w:sz w:val="13"/>
                <w:u w:val="none"/>
                <w:vertAlign w:val="baseline"/>
              </w:rPr>
              <w:t>-76</w:t>
            </w:r>
            <w:bookmarkStart w:id="233" w:name="XBRL_CE_9d5aa370282c4a45926a1eb1079f5105"/>
            <w:bookmarkEnd w:id="232"/>
            <w:bookmarkEnd w:id="233"/>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34" w:name="XBRL_CS_ba314b925f2b48929fb8d75419270010"/>
            <w:bookmarkEnd w:id="234"/>
            <w:bookmarkStart w:id="235" w:name="ba314b925f2b48929fb8d75419270010"/>
            <w:r>
              <w:rPr>
                <w:rFonts w:ascii="Arial" w:eastAsia="Arial" w:hAnsi="Arial" w:cs="Arial"/>
                <w:b w:val="0"/>
                <w:i w:val="0"/>
                <w:strike w:val="0"/>
                <w:color w:val="000000"/>
                <w:sz w:val="13"/>
                <w:u w:val="none"/>
                <w:vertAlign w:val="baseline"/>
              </w:rPr>
              <w:t>45</w:t>
            </w:r>
            <w:bookmarkStart w:id="236" w:name="XBRL_CE_ba314b925f2b48929fb8d75419270010"/>
            <w:bookmarkEnd w:id="235"/>
            <w:bookmarkEnd w:id="236"/>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Tilikauden laaja tulos yhteensä</w:t>
            </w:r>
          </w:p>
        </w:tc>
        <w:tc>
          <w:tcPr>
            <w:tcW w:w="120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37" w:name="XBRL_CS_73c9f8c3e2e64975a2c79bb2af01bad4"/>
            <w:bookmarkEnd w:id="237"/>
            <w:bookmarkStart w:id="238" w:name="73c9f8c3e2e64975a2c79bb2af01bad4"/>
            <w:r>
              <w:rPr>
                <w:rFonts w:ascii="Arial" w:eastAsia="Arial" w:hAnsi="Arial" w:cs="Arial"/>
                <w:b/>
                <w:i w:val="0"/>
                <w:strike w:val="0"/>
                <w:color w:val="000000"/>
                <w:sz w:val="13"/>
                <w:u w:val="none"/>
                <w:vertAlign w:val="baseline"/>
              </w:rPr>
              <w:t>57</w:t>
            </w:r>
            <w:bookmarkStart w:id="239" w:name="XBRL_CE_73c9f8c3e2e64975a2c79bb2af01bad4"/>
            <w:bookmarkEnd w:id="238"/>
            <w:bookmarkEnd w:id="239"/>
          </w:p>
        </w:tc>
        <w:tc>
          <w:tcPr>
            <w:tcW w:w="120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40" w:name="XBRL_CS_2562d237186d4c989fd64a8c5bade1f5"/>
            <w:bookmarkEnd w:id="240"/>
            <w:bookmarkStart w:id="241" w:name="2562d237186d4c989fd64a8c5bade1f5"/>
            <w:r>
              <w:rPr>
                <w:rFonts w:ascii="Arial" w:eastAsia="Arial" w:hAnsi="Arial" w:cs="Arial"/>
                <w:b w:val="0"/>
                <w:i w:val="0"/>
                <w:strike w:val="0"/>
                <w:color w:val="000000"/>
                <w:sz w:val="13"/>
                <w:u w:val="none"/>
                <w:vertAlign w:val="baseline"/>
              </w:rPr>
              <w:t>263</w:t>
            </w:r>
            <w:bookmarkStart w:id="242" w:name="XBRL_CE_2562d237186d4c989fd64a8c5bade1f5"/>
            <w:bookmarkEnd w:id="241"/>
            <w:bookmarkEnd w:id="242"/>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Laajan tuloksen jakautuminen:</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emoyhtiön osakkeenomistajat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43" w:name="XBRL_CS_ca1351c60d9e460a87c6cce79e897108"/>
            <w:bookmarkEnd w:id="243"/>
            <w:bookmarkStart w:id="244" w:name="ca1351c60d9e460a87c6cce79e897108"/>
            <w:r>
              <w:rPr>
                <w:rFonts w:ascii="Arial" w:eastAsia="Arial" w:hAnsi="Arial" w:cs="Arial"/>
                <w:b/>
                <w:i w:val="0"/>
                <w:strike w:val="0"/>
                <w:color w:val="000000"/>
                <w:sz w:val="13"/>
                <w:u w:val="none"/>
                <w:vertAlign w:val="baseline"/>
              </w:rPr>
              <w:t>59</w:t>
            </w:r>
            <w:bookmarkStart w:id="245" w:name="XBRL_CE_ca1351c60d9e460a87c6cce79e897108"/>
            <w:bookmarkEnd w:id="244"/>
            <w:bookmarkEnd w:id="245"/>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46" w:name="XBRL_CS_019b2b0bba554f36821c9a08688f7cc7"/>
            <w:bookmarkEnd w:id="246"/>
            <w:bookmarkStart w:id="247" w:name="019b2b0bba554f36821c9a08688f7cc7"/>
            <w:r>
              <w:rPr>
                <w:rFonts w:ascii="Arial" w:eastAsia="Arial" w:hAnsi="Arial" w:cs="Arial"/>
                <w:b w:val="0"/>
                <w:i w:val="0"/>
                <w:strike w:val="0"/>
                <w:color w:val="000000"/>
                <w:sz w:val="13"/>
                <w:u w:val="none"/>
                <w:vertAlign w:val="baseline"/>
              </w:rPr>
              <w:t>262</w:t>
            </w:r>
            <w:bookmarkStart w:id="248" w:name="XBRL_CE_019b2b0bba554f36821c9a08688f7cc7"/>
            <w:bookmarkEnd w:id="247"/>
            <w:bookmarkEnd w:id="248"/>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määräysvallattomat omistajat</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49" w:name="XBRL_CS_9a8d312037b148d9ac3f2fa617a47f6c"/>
            <w:bookmarkEnd w:id="249"/>
            <w:bookmarkStart w:id="250" w:name="9a8d312037b148d9ac3f2fa617a47f6c"/>
            <w:r>
              <w:rPr>
                <w:rFonts w:ascii="Arial" w:eastAsia="Arial" w:hAnsi="Arial" w:cs="Arial"/>
                <w:b/>
                <w:i w:val="0"/>
                <w:strike w:val="0"/>
                <w:color w:val="000000"/>
                <w:sz w:val="13"/>
                <w:u w:val="none"/>
                <w:vertAlign w:val="baseline"/>
              </w:rPr>
              <w:t>-1</w:t>
            </w:r>
            <w:bookmarkStart w:id="251" w:name="XBRL_CE_9a8d312037b148d9ac3f2fa617a47f6c"/>
            <w:bookmarkEnd w:id="250"/>
            <w:bookmarkEnd w:id="251"/>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52" w:name="XBRL_CS_15ffa72b3fdb48b4a4fcbd9a7b06c12a"/>
            <w:bookmarkEnd w:id="252"/>
            <w:bookmarkStart w:id="253" w:name="15ffa72b3fdb48b4a4fcbd9a7b06c12a"/>
            <w:r>
              <w:rPr>
                <w:rFonts w:ascii="Arial" w:eastAsia="Arial" w:hAnsi="Arial" w:cs="Arial"/>
                <w:b w:val="0"/>
                <w:i w:val="0"/>
                <w:strike w:val="0"/>
                <w:color w:val="000000"/>
                <w:sz w:val="13"/>
                <w:u w:val="none"/>
                <w:vertAlign w:val="baseline"/>
              </w:rPr>
              <w:t>1</w:t>
            </w:r>
            <w:bookmarkStart w:id="254" w:name="XBRL_CE_15ffa72b3fdb48b4a4fcbd9a7b06c12a"/>
            <w:bookmarkEnd w:id="253"/>
            <w:bookmarkEnd w:id="254"/>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55" w:name="XBRL_CS_4f99d937c8064b5fb44f1510efb9ca5b"/>
            <w:bookmarkEnd w:id="255"/>
            <w:bookmarkStart w:id="256" w:name="4f99d937c8064b5fb44f1510efb9ca5b"/>
            <w:r>
              <w:rPr>
                <w:rFonts w:ascii="Arial" w:eastAsia="Arial" w:hAnsi="Arial" w:cs="Arial"/>
                <w:b/>
                <w:i w:val="0"/>
                <w:strike w:val="0"/>
                <w:color w:val="000000"/>
                <w:sz w:val="13"/>
                <w:u w:val="none"/>
                <w:vertAlign w:val="baseline"/>
              </w:rPr>
              <w:t>57</w:t>
            </w:r>
            <w:bookmarkStart w:id="257" w:name="XBRL_CE_4f99d937c8064b5fb44f1510efb9ca5b"/>
            <w:bookmarkEnd w:id="256"/>
            <w:bookmarkEnd w:id="257"/>
          </w:p>
        </w:tc>
        <w:tc>
          <w:tcPr>
            <w:tcW w:w="120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58" w:name="XBRL_CS_512f3814ea584aea9025216f526bfd0d"/>
            <w:bookmarkEnd w:id="258"/>
            <w:bookmarkStart w:id="259" w:name="512f3814ea584aea9025216f526bfd0d"/>
            <w:r>
              <w:rPr>
                <w:rFonts w:ascii="Arial" w:eastAsia="Arial" w:hAnsi="Arial" w:cs="Arial"/>
                <w:b w:val="0"/>
                <w:i w:val="0"/>
                <w:strike w:val="0"/>
                <w:color w:val="000000"/>
                <w:sz w:val="13"/>
                <w:u w:val="none"/>
                <w:vertAlign w:val="baseline"/>
              </w:rPr>
              <w:t>263</w:t>
            </w:r>
            <w:bookmarkStart w:id="260" w:name="XBRL_CE_512f3814ea584aea9025216f526bfd0d"/>
            <w:bookmarkEnd w:id="259"/>
            <w:bookmarkEnd w:id="260"/>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3B1B22" w:rsidP="002642EE" w14:paraId="6ED6D4EA" w14:textId="77777777">
      <w:pPr>
        <w:pStyle w:val="Bodytext2"/>
        <w:rPr>
          <w:lang w:val="fi-FI"/>
        </w:rPr>
      </w:pPr>
      <w:bookmarkStart w:id="261" w:name="RG_MARKER_4691"/>
      <w:bookmarkEnd w:id="261"/>
    </w:p>
    <w:p w:rsidR="004A0DF2" w:rsidRPr="007C6D01" w:rsidP="002642EE" w14:textId="38AA0D8E">
      <w:pPr>
        <w:pStyle w:val="Bodytext2"/>
        <w:rPr>
          <w:sz w:val="2"/>
          <w:szCs w:val="2"/>
          <w:lang w:val="fi-FI"/>
        </w:rPr>
      </w:pPr>
      <w:r w:rsidRPr="007C6D01">
        <w:rPr>
          <w:lang w:val="fi-FI"/>
        </w:rPr>
        <w:t>Liitetiedot ovat osa tätä tilinpäätöstä.</w:t>
      </w:r>
      <w:r w:rsidRPr="007C6D01">
        <w:rPr>
          <w:sz w:val="2"/>
          <w:szCs w:val="2"/>
          <w:lang w:val="fi-FI"/>
        </w:rPr>
        <w:br w:type="column"/>
      </w:r>
    </w:p>
    <w:p w:rsidR="004A0DF2" w:rsidRPr="002642EE" w:rsidP="0051765B" w14:textId="53BAB780">
      <w:pPr>
        <w:pStyle w:val="Heading10"/>
      </w:pPr>
      <w:bookmarkStart w:id="262" w:name="RG_MARKER_4686"/>
      <w:r>
        <w:t>KONSERNIN TASE</w:t>
      </w:r>
      <w:bookmarkEnd w:id="262"/>
    </w:p>
    <w:p/>
    <w:tbl>
      <w:tblPr>
        <w:tblStyle w:val="CDMRange1"/>
        <w:tblW w:w="7365" w:type="dxa"/>
        <w:tblLayout w:type="fixed"/>
        <w:tblLook w:val="0600"/>
      </w:tblPr>
      <w:tblGrid>
        <w:gridCol w:w="3885"/>
        <w:gridCol w:w="1200"/>
        <w:gridCol w:w="1200"/>
        <w:gridCol w:w="1080"/>
      </w:tblGrid>
      <w:tr>
        <w:tblPrEx>
          <w:tblW w:w="7365" w:type="dxa"/>
          <w:tblLayout w:type="fixed"/>
          <w:tblLook w:val="0600"/>
        </w:tblPrEx>
        <w:trPr>
          <w:trHeight w:hRule="exact" w:val="225"/>
        </w:trPr>
        <w:tc>
          <w:tcPr>
            <w:tcW w:w="38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0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c>
          <w:tcPr>
            <w:tcW w:w="120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31.12.2019</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Varat</w:t>
            </w:r>
          </w:p>
        </w:tc>
        <w:tc>
          <w:tcPr>
            <w:tcW w:w="1200"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varat</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Liikearvo</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63" w:name="XBRL_CS_1e9b1d1bf5a643f6a5d348e7d25cf3b5"/>
            <w:bookmarkEnd w:id="263"/>
            <w:bookmarkStart w:id="264" w:name="1e9b1d1bf5a643f6a5d348e7d25cf3b5"/>
            <w:r>
              <w:rPr>
                <w:rFonts w:ascii="Arial" w:eastAsia="Arial" w:hAnsi="Arial" w:cs="Arial"/>
                <w:b/>
                <w:i w:val="0"/>
                <w:strike w:val="0"/>
                <w:color w:val="000000"/>
                <w:sz w:val="13"/>
                <w:u w:val="none"/>
                <w:vertAlign w:val="baseline"/>
              </w:rPr>
              <w:t>1 325</w:t>
            </w:r>
            <w:bookmarkStart w:id="265" w:name="XBRL_CE_1e9b1d1bf5a643f6a5d348e7d25cf3b5"/>
            <w:bookmarkEnd w:id="264"/>
            <w:bookmarkEnd w:id="26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66" w:name="XBRL_CS_573ae0f0c62e4f5ca8c927a047405d18"/>
            <w:bookmarkEnd w:id="266"/>
            <w:bookmarkStart w:id="267" w:name="573ae0f0c62e4f5ca8c927a047405d18"/>
            <w:r>
              <w:rPr>
                <w:rFonts w:ascii="Arial" w:eastAsia="Arial" w:hAnsi="Arial" w:cs="Arial"/>
                <w:b w:val="0"/>
                <w:i w:val="0"/>
                <w:strike w:val="0"/>
                <w:color w:val="000000"/>
                <w:sz w:val="13"/>
                <w:u w:val="none"/>
                <w:vertAlign w:val="baseline"/>
              </w:rPr>
              <w:t>1 380</w:t>
            </w:r>
            <w:bookmarkStart w:id="268" w:name="XBRL_CE_573ae0f0c62e4f5ca8c927a047405d18"/>
            <w:bookmarkEnd w:id="267"/>
            <w:bookmarkEnd w:id="268"/>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3.1.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Aineettomat hyödykkeet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69" w:name="XBRL_CS_ae9cdd8f75e2474380aaca609f700264"/>
            <w:bookmarkEnd w:id="269"/>
            <w:bookmarkStart w:id="270" w:name="ae9cdd8f75e2474380aaca609f700264"/>
            <w:r>
              <w:rPr>
                <w:rFonts w:ascii="Arial" w:eastAsia="Arial" w:hAnsi="Arial" w:cs="Arial"/>
                <w:b/>
                <w:i w:val="0"/>
                <w:strike w:val="0"/>
                <w:color w:val="000000"/>
                <w:sz w:val="13"/>
                <w:u w:val="none"/>
                <w:vertAlign w:val="baseline"/>
              </w:rPr>
              <w:t>391</w:t>
            </w:r>
            <w:bookmarkStart w:id="271" w:name="XBRL_CE_ae9cdd8f75e2474380aaca609f700264"/>
            <w:bookmarkEnd w:id="270"/>
            <w:bookmarkEnd w:id="27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72" w:name="XBRL_CS_beb729e11f0b45bb9ecb2f7ffddc34fb"/>
            <w:bookmarkEnd w:id="272"/>
            <w:bookmarkStart w:id="273" w:name="beb729e11f0b45bb9ecb2f7ffddc34fb"/>
            <w:r>
              <w:rPr>
                <w:rFonts w:ascii="Arial" w:eastAsia="Arial" w:hAnsi="Arial" w:cs="Arial"/>
                <w:b w:val="0"/>
                <w:i w:val="0"/>
                <w:strike w:val="0"/>
                <w:color w:val="000000"/>
                <w:sz w:val="13"/>
                <w:u w:val="none"/>
                <w:vertAlign w:val="baseline"/>
              </w:rPr>
              <w:t>397</w:t>
            </w:r>
            <w:bookmarkStart w:id="274" w:name="XBRL_CE_beb729e11f0b45bb9ecb2f7ffddc34fb"/>
            <w:bookmarkEnd w:id="273"/>
            <w:bookmarkEnd w:id="274"/>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3.2.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Aineelliset hyödykkeet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75" w:name="XBRL_CS_53c640bb2c54446391489a582b80549e"/>
            <w:bookmarkEnd w:id="275"/>
            <w:bookmarkStart w:id="276" w:name="53c640bb2c54446391489a582b80549e"/>
            <w:r>
              <w:rPr>
                <w:rFonts w:ascii="Arial" w:eastAsia="Arial" w:hAnsi="Arial" w:cs="Arial"/>
                <w:b/>
                <w:i w:val="0"/>
                <w:strike w:val="0"/>
                <w:color w:val="000000"/>
                <w:sz w:val="13"/>
                <w:u w:val="none"/>
                <w:vertAlign w:val="baseline"/>
              </w:rPr>
              <w:t>282</w:t>
            </w:r>
            <w:bookmarkStart w:id="277" w:name="XBRL_CE_53c640bb2c54446391489a582b80549e"/>
            <w:bookmarkEnd w:id="276"/>
            <w:bookmarkEnd w:id="27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78" w:name="XBRL_CS_57ff98d2df0c43b083e2963b3c2ec8ee"/>
            <w:bookmarkEnd w:id="278"/>
            <w:bookmarkStart w:id="279" w:name="57ff98d2df0c43b083e2963b3c2ec8ee"/>
            <w:r>
              <w:rPr>
                <w:rFonts w:ascii="Arial" w:eastAsia="Arial" w:hAnsi="Arial" w:cs="Arial"/>
                <w:b w:val="0"/>
                <w:i w:val="0"/>
                <w:strike w:val="0"/>
                <w:color w:val="000000"/>
                <w:sz w:val="13"/>
                <w:u w:val="none"/>
                <w:vertAlign w:val="baseline"/>
              </w:rPr>
              <w:t>307</w:t>
            </w:r>
            <w:bookmarkStart w:id="280" w:name="XBRL_CE_57ff98d2df0c43b083e2963b3c2ec8ee"/>
            <w:bookmarkEnd w:id="279"/>
            <w:bookmarkEnd w:id="280"/>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3.3.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Käyttöoikeusomaisuuserät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81" w:name="XBRL_CS_92394345012c4e999c471594713bf7f7"/>
            <w:bookmarkEnd w:id="281"/>
            <w:bookmarkStart w:id="282" w:name="92394345012c4e999c471594713bf7f7"/>
            <w:r>
              <w:rPr>
                <w:rFonts w:ascii="Arial" w:eastAsia="Arial" w:hAnsi="Arial" w:cs="Arial"/>
                <w:b/>
                <w:i w:val="0"/>
                <w:strike w:val="0"/>
                <w:color w:val="000000"/>
                <w:sz w:val="13"/>
                <w:u w:val="none"/>
                <w:vertAlign w:val="baseline"/>
              </w:rPr>
              <w:t>162</w:t>
            </w:r>
            <w:bookmarkStart w:id="283" w:name="XBRL_CE_92394345012c4e999c471594713bf7f7"/>
            <w:bookmarkEnd w:id="282"/>
            <w:bookmarkEnd w:id="28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84" w:name="XBRL_CS_3bf21ee7a3304e948666d7881198d8be"/>
            <w:bookmarkEnd w:id="284"/>
            <w:bookmarkStart w:id="285" w:name="3bf21ee7a3304e948666d7881198d8be"/>
            <w:r>
              <w:rPr>
                <w:rFonts w:ascii="Arial" w:eastAsia="Arial" w:hAnsi="Arial" w:cs="Arial"/>
                <w:b w:val="0"/>
                <w:i w:val="0"/>
                <w:strike w:val="0"/>
                <w:color w:val="000000"/>
                <w:sz w:val="13"/>
                <w:u w:val="none"/>
                <w:vertAlign w:val="baseline"/>
              </w:rPr>
              <w:t>185</w:t>
            </w:r>
            <w:bookmarkStart w:id="286" w:name="XBRL_CE_3bf21ee7a3304e948666d7881198d8be"/>
            <w:bookmarkEnd w:id="285"/>
            <w:bookmarkEnd w:id="286"/>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3.4.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Osuudet osakkuus- ja yhteisyrityksissä</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87" w:name="XBRL_CS_c8e1d544f135420c9cdd8f27d0a47640"/>
            <w:bookmarkEnd w:id="287"/>
            <w:bookmarkStart w:id="288" w:name="c8e1d544f135420c9cdd8f27d0a47640"/>
            <w:r>
              <w:rPr>
                <w:rFonts w:ascii="Arial" w:eastAsia="Arial" w:hAnsi="Arial" w:cs="Arial"/>
                <w:b/>
                <w:i w:val="0"/>
                <w:strike w:val="0"/>
                <w:color w:val="000000"/>
                <w:sz w:val="13"/>
                <w:u w:val="none"/>
                <w:vertAlign w:val="baseline"/>
              </w:rPr>
              <w:t>23</w:t>
            </w:r>
            <w:bookmarkStart w:id="289" w:name="XBRL_CE_c8e1d544f135420c9cdd8f27d0a47640"/>
            <w:bookmarkEnd w:id="288"/>
            <w:bookmarkEnd w:id="28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90" w:name="XBRL_CS_f944b1f7606b4f3097bfddf10453e86d"/>
            <w:bookmarkEnd w:id="290"/>
            <w:bookmarkStart w:id="291" w:name="f944b1f7606b4f3097bfddf10453e86d"/>
            <w:r>
              <w:rPr>
                <w:rFonts w:ascii="Arial" w:eastAsia="Arial" w:hAnsi="Arial" w:cs="Arial"/>
                <w:b w:val="0"/>
                <w:i w:val="0"/>
                <w:strike w:val="0"/>
                <w:color w:val="000000"/>
                <w:sz w:val="13"/>
                <w:u w:val="none"/>
                <w:vertAlign w:val="baseline"/>
              </w:rPr>
              <w:t>42</w:t>
            </w:r>
            <w:bookmarkStart w:id="292" w:name="XBRL_CE_f944b1f7606b4f3097bfddf10453e86d"/>
            <w:bookmarkEnd w:id="291"/>
            <w:bookmarkEnd w:id="292"/>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sijoitukset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93" w:name="XBRL_CS_9971754c40f04a70b0328a84a3e3d33e"/>
            <w:bookmarkEnd w:id="293"/>
            <w:bookmarkStart w:id="294" w:name="9971754c40f04a70b0328a84a3e3d33e"/>
            <w:r>
              <w:rPr>
                <w:rFonts w:ascii="Arial" w:eastAsia="Arial" w:hAnsi="Arial" w:cs="Arial"/>
                <w:b/>
                <w:i w:val="0"/>
                <w:strike w:val="0"/>
                <w:color w:val="000000"/>
                <w:sz w:val="13"/>
                <w:u w:val="none"/>
                <w:vertAlign w:val="baseline"/>
              </w:rPr>
              <w:t>19</w:t>
            </w:r>
            <w:bookmarkStart w:id="295" w:name="XBRL_CE_9971754c40f04a70b0328a84a3e3d33e"/>
            <w:bookmarkEnd w:id="294"/>
            <w:bookmarkEnd w:id="29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296" w:name="XBRL_CS_1f917950e0b147dbaaa9cff829af1b23"/>
            <w:bookmarkEnd w:id="296"/>
            <w:bookmarkStart w:id="297" w:name="1f917950e0b147dbaaa9cff829af1b23"/>
            <w:r>
              <w:rPr>
                <w:rFonts w:ascii="Arial" w:eastAsia="Arial" w:hAnsi="Arial" w:cs="Arial"/>
                <w:b w:val="0"/>
                <w:i w:val="0"/>
                <w:strike w:val="0"/>
                <w:color w:val="000000"/>
                <w:sz w:val="13"/>
                <w:u w:val="none"/>
                <w:vertAlign w:val="baseline"/>
              </w:rPr>
              <w:t>18</w:t>
            </w:r>
            <w:bookmarkStart w:id="298" w:name="XBRL_CE_1f917950e0b147dbaaa9cff829af1b23"/>
            <w:bookmarkEnd w:id="297"/>
            <w:bookmarkEnd w:id="298"/>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sijoitukset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299" w:name="XBRL_CS_6fd43ad231ae4a6eabc82272c287c141"/>
            <w:bookmarkEnd w:id="299"/>
            <w:bookmarkStart w:id="300" w:name="6fd43ad231ae4a6eabc82272c287c141"/>
            <w:r>
              <w:rPr>
                <w:rFonts w:ascii="Arial" w:eastAsia="Arial" w:hAnsi="Arial" w:cs="Arial"/>
                <w:b/>
                <w:i w:val="0"/>
                <w:strike w:val="0"/>
                <w:color w:val="000000"/>
                <w:sz w:val="13"/>
                <w:u w:val="none"/>
                <w:vertAlign w:val="baseline"/>
              </w:rPr>
              <w:t>1</w:t>
            </w:r>
            <w:bookmarkStart w:id="301" w:name="XBRL_CE_6fd43ad231ae4a6eabc82272c287c141"/>
            <w:bookmarkEnd w:id="300"/>
            <w:bookmarkEnd w:id="30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02" w:name="XBRL_CS_ec4e39dfedc342a18ada0743fed125e0"/>
            <w:bookmarkEnd w:id="302"/>
            <w:bookmarkStart w:id="303" w:name="ec4e39dfedc342a18ada0743fed125e0"/>
            <w:r>
              <w:rPr>
                <w:rFonts w:ascii="Arial" w:eastAsia="Arial" w:hAnsi="Arial" w:cs="Arial"/>
                <w:b w:val="0"/>
                <w:i w:val="0"/>
                <w:strike w:val="0"/>
                <w:color w:val="000000"/>
                <w:sz w:val="13"/>
                <w:u w:val="none"/>
                <w:vertAlign w:val="baseline"/>
              </w:rPr>
              <w:t>1</w:t>
            </w:r>
            <w:bookmarkStart w:id="304" w:name="XBRL_CE_ec4e39dfedc342a18ada0743fed125e0"/>
            <w:bookmarkEnd w:id="303"/>
            <w:bookmarkEnd w:id="304"/>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Laskennalliset verosaamiset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05" w:name="XBRL_CS_2f9c0626144c45718e560fc20cf2245a"/>
            <w:bookmarkEnd w:id="305"/>
            <w:bookmarkStart w:id="306" w:name="2f9c0626144c45718e560fc20cf2245a"/>
            <w:r>
              <w:rPr>
                <w:rFonts w:ascii="Arial" w:eastAsia="Arial" w:hAnsi="Arial" w:cs="Arial"/>
                <w:b/>
                <w:i w:val="0"/>
                <w:strike w:val="0"/>
                <w:color w:val="000000"/>
                <w:sz w:val="13"/>
                <w:u w:val="none"/>
                <w:vertAlign w:val="baseline"/>
              </w:rPr>
              <w:t>183</w:t>
            </w:r>
            <w:bookmarkStart w:id="307" w:name="XBRL_CE_2f9c0626144c45718e560fc20cf2245a"/>
            <w:bookmarkEnd w:id="306"/>
            <w:bookmarkEnd w:id="30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08" w:name="XBRL_CS_7ea0b9b88b3b48d4902154b491eec1d1"/>
            <w:bookmarkEnd w:id="308"/>
            <w:bookmarkStart w:id="309" w:name="7ea0b9b88b3b48d4902154b491eec1d1"/>
            <w:r>
              <w:rPr>
                <w:rFonts w:ascii="Arial" w:eastAsia="Arial" w:hAnsi="Arial" w:cs="Arial"/>
                <w:b w:val="0"/>
                <w:i w:val="0"/>
                <w:strike w:val="0"/>
                <w:color w:val="000000"/>
                <w:sz w:val="13"/>
                <w:u w:val="none"/>
                <w:vertAlign w:val="baseline"/>
              </w:rPr>
              <w:t>155</w:t>
            </w:r>
            <w:bookmarkStart w:id="310" w:name="XBRL_CE_7ea0b9b88b3b48d4902154b491eec1d1"/>
            <w:bookmarkEnd w:id="309"/>
            <w:bookmarkEnd w:id="310"/>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11" w:name="XBRL_CS_cbf7d8ff841f49d6a668e622577c3a2a"/>
            <w:bookmarkEnd w:id="311"/>
            <w:bookmarkStart w:id="312" w:name="cbf7d8ff841f49d6a668e622577c3a2a"/>
            <w:r>
              <w:rPr>
                <w:rFonts w:ascii="Arial" w:eastAsia="Arial" w:hAnsi="Arial" w:cs="Arial"/>
                <w:b/>
                <w:i w:val="0"/>
                <w:strike w:val="0"/>
                <w:color w:val="000000"/>
                <w:sz w:val="13"/>
                <w:u w:val="none"/>
                <w:vertAlign w:val="baseline"/>
              </w:rPr>
              <w:t>30</w:t>
            </w:r>
            <w:bookmarkStart w:id="313" w:name="XBRL_CE_cbf7d8ff841f49d6a668e622577c3a2a"/>
            <w:bookmarkEnd w:id="312"/>
            <w:bookmarkEnd w:id="31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14" w:name="XBRL_CS_f1f1d84bb385469585c21f4d6d39de34"/>
            <w:bookmarkEnd w:id="314"/>
            <w:bookmarkStart w:id="315" w:name="f1f1d84bb385469585c21f4d6d39de34"/>
            <w:r>
              <w:rPr>
                <w:rFonts w:ascii="Arial" w:eastAsia="Arial" w:hAnsi="Arial" w:cs="Arial"/>
                <w:b w:val="0"/>
                <w:i w:val="0"/>
                <w:strike w:val="0"/>
                <w:color w:val="000000"/>
                <w:sz w:val="13"/>
                <w:u w:val="none"/>
                <w:vertAlign w:val="baseline"/>
              </w:rPr>
              <w:t>19</w:t>
            </w:r>
            <w:bookmarkStart w:id="316" w:name="XBRL_CE_f1f1d84bb385469585c21f4d6d39de34"/>
            <w:bookmarkEnd w:id="315"/>
            <w:bookmarkEnd w:id="316"/>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4.2., 5.2.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17" w:name="XBRL_CS_06d02308ba5145a1ab018195c87a0a6c"/>
            <w:bookmarkEnd w:id="317"/>
            <w:bookmarkStart w:id="318" w:name="06d02308ba5145a1ab018195c87a0a6c"/>
            <w:r>
              <w:rPr>
                <w:rFonts w:ascii="Arial" w:eastAsia="Arial" w:hAnsi="Arial" w:cs="Arial"/>
                <w:b/>
                <w:i w:val="0"/>
                <w:strike w:val="0"/>
                <w:color w:val="000000"/>
                <w:sz w:val="13"/>
                <w:u w:val="none"/>
                <w:vertAlign w:val="baseline"/>
              </w:rPr>
              <w:t>11</w:t>
            </w:r>
            <w:bookmarkStart w:id="319" w:name="XBRL_CE_06d02308ba5145a1ab018195c87a0a6c"/>
            <w:bookmarkEnd w:id="318"/>
            <w:bookmarkEnd w:id="319"/>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20" w:name="XBRL_CS_ea717f5c7a064db288b09534f3d7784c"/>
            <w:bookmarkEnd w:id="320"/>
            <w:bookmarkStart w:id="321" w:name="ea717f5c7a064db288b09534f3d7784c"/>
            <w:r>
              <w:rPr>
                <w:rFonts w:ascii="Arial" w:eastAsia="Arial" w:hAnsi="Arial" w:cs="Arial"/>
                <w:b w:val="0"/>
                <w:i w:val="0"/>
                <w:strike w:val="0"/>
                <w:color w:val="000000"/>
                <w:sz w:val="13"/>
                <w:u w:val="none"/>
                <w:vertAlign w:val="baseline"/>
              </w:rPr>
              <w:t>15</w:t>
            </w:r>
            <w:bookmarkStart w:id="322" w:name="XBRL_CE_ea717f5c7a064db288b09534f3d7784c"/>
            <w:bookmarkEnd w:id="321"/>
            <w:bookmarkEnd w:id="322"/>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varat yhteensä</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23" w:name="XBRL_CS_244a114da2b540d29f8b362a47ece9ef"/>
            <w:bookmarkEnd w:id="323"/>
            <w:bookmarkStart w:id="324" w:name="244a114da2b540d29f8b362a47ece9ef"/>
            <w:r>
              <w:rPr>
                <w:rFonts w:ascii="Arial" w:eastAsia="Arial" w:hAnsi="Arial" w:cs="Arial"/>
                <w:b/>
                <w:i w:val="0"/>
                <w:strike w:val="0"/>
                <w:color w:val="000000"/>
                <w:sz w:val="13"/>
                <w:u w:val="none"/>
                <w:vertAlign w:val="baseline"/>
              </w:rPr>
              <w:t>2 427</w:t>
            </w:r>
            <w:bookmarkStart w:id="325" w:name="XBRL_CE_244a114da2b540d29f8b362a47ece9ef"/>
            <w:bookmarkEnd w:id="324"/>
            <w:bookmarkEnd w:id="325"/>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26" w:name="XBRL_CS_f98b67a831954bccae371a84e428ae45"/>
            <w:bookmarkEnd w:id="326"/>
            <w:bookmarkStart w:id="327" w:name="f98b67a831954bccae371a84e428ae45"/>
            <w:r>
              <w:rPr>
                <w:rFonts w:ascii="Arial" w:eastAsia="Arial" w:hAnsi="Arial" w:cs="Arial"/>
                <w:b w:val="0"/>
                <w:i w:val="0"/>
                <w:strike w:val="0"/>
                <w:color w:val="000000"/>
                <w:sz w:val="13"/>
                <w:u w:val="none"/>
                <w:vertAlign w:val="baseline"/>
              </w:rPr>
              <w:t>2 518</w:t>
            </w:r>
            <w:bookmarkStart w:id="328" w:name="XBRL_CE_f98b67a831954bccae371a84e428ae45"/>
            <w:bookmarkEnd w:id="327"/>
            <w:bookmarkEnd w:id="328"/>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varat</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Vaihto-omaisuus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29" w:name="XBRL_CS_339e310003554a5da2088aa384133be1"/>
            <w:bookmarkEnd w:id="329"/>
            <w:bookmarkStart w:id="330" w:name="339e310003554a5da2088aa384133be1"/>
            <w:r>
              <w:rPr>
                <w:rFonts w:ascii="Arial" w:eastAsia="Arial" w:hAnsi="Arial" w:cs="Arial"/>
                <w:b/>
                <w:i w:val="0"/>
                <w:strike w:val="0"/>
                <w:color w:val="000000"/>
                <w:sz w:val="13"/>
                <w:u w:val="none"/>
                <w:vertAlign w:val="baseline"/>
              </w:rPr>
              <w:t>1 192</w:t>
            </w:r>
            <w:bookmarkStart w:id="331" w:name="XBRL_CE_339e310003554a5da2088aa384133be1"/>
            <w:bookmarkEnd w:id="330"/>
            <w:bookmarkEnd w:id="33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32" w:name="XBRL_CS_236ee9bd064a4fad9978f83a2702bdaa"/>
            <w:bookmarkEnd w:id="332"/>
            <w:bookmarkStart w:id="333" w:name="236ee9bd064a4fad9978f83a2702bdaa"/>
            <w:r>
              <w:rPr>
                <w:rFonts w:ascii="Arial" w:eastAsia="Arial" w:hAnsi="Arial" w:cs="Arial"/>
                <w:b w:val="0"/>
                <w:i w:val="0"/>
                <w:strike w:val="0"/>
                <w:color w:val="000000"/>
                <w:sz w:val="13"/>
                <w:u w:val="none"/>
                <w:vertAlign w:val="baseline"/>
              </w:rPr>
              <w:t>1 365</w:t>
            </w:r>
            <w:bookmarkStart w:id="334" w:name="XBRL_CE_236ee9bd064a4fad9978f83a2702bdaa"/>
            <w:bookmarkEnd w:id="333"/>
            <w:bookmarkEnd w:id="334"/>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35" w:name="XBRL_CS_7a8c95a0654e4c00830c99f2ec028035"/>
            <w:bookmarkEnd w:id="335"/>
            <w:bookmarkStart w:id="336" w:name="7a8c95a0654e4c00830c99f2ec028035"/>
            <w:r>
              <w:rPr>
                <w:rFonts w:ascii="Arial" w:eastAsia="Arial" w:hAnsi="Arial" w:cs="Arial"/>
                <w:b/>
                <w:i w:val="0"/>
                <w:strike w:val="0"/>
                <w:color w:val="000000"/>
                <w:sz w:val="13"/>
                <w:u w:val="none"/>
                <w:vertAlign w:val="baseline"/>
              </w:rPr>
              <w:t>922</w:t>
            </w:r>
            <w:bookmarkStart w:id="337" w:name="XBRL_CE_7a8c95a0654e4c00830c99f2ec028035"/>
            <w:bookmarkEnd w:id="336"/>
            <w:bookmarkEnd w:id="33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38" w:name="XBRL_CS_9e49c30330e349d69b5187118ebcd6d1"/>
            <w:bookmarkEnd w:id="338"/>
            <w:bookmarkStart w:id="339" w:name="9e49c30330e349d69b5187118ebcd6d1"/>
            <w:r>
              <w:rPr>
                <w:rFonts w:ascii="Arial" w:eastAsia="Arial" w:hAnsi="Arial" w:cs="Arial"/>
                <w:b w:val="0"/>
                <w:i w:val="0"/>
                <w:strike w:val="0"/>
                <w:color w:val="000000"/>
                <w:sz w:val="13"/>
                <w:u w:val="none"/>
                <w:vertAlign w:val="baseline"/>
              </w:rPr>
              <w:t>1 237</w:t>
            </w:r>
            <w:bookmarkStart w:id="340" w:name="XBRL_CE_9e49c30330e349d69b5187118ebcd6d1"/>
            <w:bookmarkEnd w:id="339"/>
            <w:bookmarkEnd w:id="340"/>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4.2., 5.2.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Verosaamiset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41" w:name="XBRL_CS_4f0a01ba25d54afc80fc3feeac998474"/>
            <w:bookmarkEnd w:id="341"/>
            <w:bookmarkStart w:id="342" w:name="4f0a01ba25d54afc80fc3feeac998474"/>
            <w:r>
              <w:rPr>
                <w:rFonts w:ascii="Arial" w:eastAsia="Arial" w:hAnsi="Arial" w:cs="Arial"/>
                <w:b/>
                <w:i w:val="0"/>
                <w:strike w:val="0"/>
                <w:color w:val="000000"/>
                <w:sz w:val="13"/>
                <w:u w:val="none"/>
                <w:vertAlign w:val="baseline"/>
              </w:rPr>
              <w:t>27</w:t>
            </w:r>
            <w:bookmarkStart w:id="343" w:name="XBRL_CE_4f0a01ba25d54afc80fc3feeac998474"/>
            <w:bookmarkEnd w:id="342"/>
            <w:bookmarkEnd w:id="34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44" w:name="XBRL_CS_3aceb53cefec4183afd4a12f10e24134"/>
            <w:bookmarkEnd w:id="344"/>
            <w:bookmarkStart w:id="345" w:name="3aceb53cefec4183afd4a12f10e24134"/>
            <w:r>
              <w:rPr>
                <w:rFonts w:ascii="Arial" w:eastAsia="Arial" w:hAnsi="Arial" w:cs="Arial"/>
                <w:b w:val="0"/>
                <w:i w:val="0"/>
                <w:strike w:val="0"/>
                <w:color w:val="000000"/>
                <w:sz w:val="13"/>
                <w:u w:val="none"/>
                <w:vertAlign w:val="baseline"/>
              </w:rPr>
              <w:t>42</w:t>
            </w:r>
            <w:bookmarkStart w:id="346" w:name="XBRL_CE_3aceb53cefec4183afd4a12f10e24134"/>
            <w:bookmarkEnd w:id="345"/>
            <w:bookmarkEnd w:id="346"/>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Sopimukseen perustuvat varat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47" w:name="XBRL_CS_80fc78e92702477f979e1222c9247910"/>
            <w:bookmarkEnd w:id="347"/>
            <w:bookmarkStart w:id="348" w:name="80fc78e92702477f979e1222c9247910"/>
            <w:r>
              <w:rPr>
                <w:rFonts w:ascii="Arial" w:eastAsia="Arial" w:hAnsi="Arial" w:cs="Arial"/>
                <w:b/>
                <w:i w:val="0"/>
                <w:strike w:val="0"/>
                <w:color w:val="000000"/>
                <w:sz w:val="13"/>
                <w:u w:val="none"/>
                <w:vertAlign w:val="baseline"/>
              </w:rPr>
              <w:t>389</w:t>
            </w:r>
            <w:bookmarkStart w:id="349" w:name="XBRL_CE_80fc78e92702477f979e1222c9247910"/>
            <w:bookmarkEnd w:id="348"/>
            <w:bookmarkEnd w:id="34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50" w:name="XBRL_CS_7af3eee53ad048708b6a155285880a20"/>
            <w:bookmarkEnd w:id="350"/>
            <w:bookmarkStart w:id="351" w:name="7af3eee53ad048708b6a155285880a20"/>
            <w:r>
              <w:rPr>
                <w:rFonts w:ascii="Arial" w:eastAsia="Arial" w:hAnsi="Arial" w:cs="Arial"/>
                <w:b w:val="0"/>
                <w:i w:val="0"/>
                <w:strike w:val="0"/>
                <w:color w:val="000000"/>
                <w:sz w:val="13"/>
                <w:u w:val="none"/>
                <w:vertAlign w:val="baseline"/>
              </w:rPr>
              <w:t>515</w:t>
            </w:r>
            <w:bookmarkStart w:id="352" w:name="XBRL_CE_7af3eee53ad048708b6a155285880a20"/>
            <w:bookmarkEnd w:id="351"/>
            <w:bookmarkEnd w:id="352"/>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53" w:name="XBRL_CS_b7640a67f9224850919e2b56d991b705"/>
            <w:bookmarkEnd w:id="353"/>
            <w:bookmarkStart w:id="354" w:name="b7640a67f9224850919e2b56d991b705"/>
            <w:r>
              <w:rPr>
                <w:rFonts w:ascii="Arial" w:eastAsia="Arial" w:hAnsi="Arial" w:cs="Arial"/>
                <w:b/>
                <w:i w:val="0"/>
                <w:strike w:val="0"/>
                <w:color w:val="000000"/>
                <w:sz w:val="13"/>
                <w:u w:val="none"/>
                <w:vertAlign w:val="baseline"/>
              </w:rPr>
              <w:t>258</w:t>
            </w:r>
            <w:bookmarkStart w:id="355" w:name="XBRL_CE_b7640a67f9224850919e2b56d991b705"/>
            <w:bookmarkEnd w:id="354"/>
            <w:bookmarkEnd w:id="35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56" w:name="XBRL_CS_74de65f393814d84a0d88b8baaad0bfd"/>
            <w:bookmarkEnd w:id="356"/>
            <w:bookmarkStart w:id="357" w:name="74de65f393814d84a0d88b8baaad0bfd"/>
            <w:r>
              <w:rPr>
                <w:rFonts w:ascii="Arial" w:eastAsia="Arial" w:hAnsi="Arial" w:cs="Arial"/>
                <w:b w:val="0"/>
                <w:i w:val="0"/>
                <w:strike w:val="0"/>
                <w:color w:val="000000"/>
                <w:sz w:val="13"/>
                <w:u w:val="none"/>
                <w:vertAlign w:val="baseline"/>
              </w:rPr>
              <w:t>281</w:t>
            </w:r>
            <w:bookmarkStart w:id="358" w:name="XBRL_CE_74de65f393814d84a0d88b8baaad0bfd"/>
            <w:bookmarkEnd w:id="357"/>
            <w:bookmarkEnd w:id="358"/>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59" w:name="XBRL_CS_8c103c7e517c4cbc9fdb40a129ffb362"/>
            <w:bookmarkEnd w:id="359"/>
            <w:bookmarkStart w:id="360" w:name="8c103c7e517c4cbc9fdb40a129ffb362"/>
            <w:r>
              <w:rPr>
                <w:rFonts w:ascii="Arial" w:eastAsia="Arial" w:hAnsi="Arial" w:cs="Arial"/>
                <w:b/>
                <w:i w:val="0"/>
                <w:strike w:val="0"/>
                <w:color w:val="000000"/>
                <w:sz w:val="13"/>
                <w:u w:val="none"/>
                <w:vertAlign w:val="baseline"/>
              </w:rPr>
              <w:t>919</w:t>
            </w:r>
            <w:bookmarkStart w:id="361" w:name="XBRL_CE_8c103c7e517c4cbc9fdb40a129ffb362"/>
            <w:bookmarkEnd w:id="360"/>
            <w:bookmarkEnd w:id="361"/>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62" w:name="XBRL_CS_2c3704c448fb40ad8cebdde2ceaad9ca"/>
            <w:bookmarkEnd w:id="362"/>
            <w:bookmarkStart w:id="363" w:name="2c3704c448fb40ad8cebdde2ceaad9ca"/>
            <w:r>
              <w:rPr>
                <w:rFonts w:ascii="Arial" w:eastAsia="Arial" w:hAnsi="Arial" w:cs="Arial"/>
                <w:b w:val="0"/>
                <w:i w:val="0"/>
                <w:strike w:val="0"/>
                <w:color w:val="000000"/>
                <w:sz w:val="13"/>
                <w:u w:val="none"/>
                <w:vertAlign w:val="baseline"/>
              </w:rPr>
              <w:t>358</w:t>
            </w:r>
            <w:bookmarkStart w:id="364" w:name="XBRL_CE_2c3704c448fb40ad8cebdde2ceaad9ca"/>
            <w:bookmarkEnd w:id="363"/>
            <w:bookmarkEnd w:id="364"/>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5.3., 5.4.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varat yhteensä</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65" w:name="XBRL_CS_4776c672b2bf4a7f9113ec8fdd2e9d6e"/>
            <w:bookmarkEnd w:id="365"/>
            <w:bookmarkStart w:id="366" w:name="4776c672b2bf4a7f9113ec8fdd2e9d6e"/>
            <w:r>
              <w:rPr>
                <w:rFonts w:ascii="Arial" w:eastAsia="Arial" w:hAnsi="Arial" w:cs="Arial"/>
                <w:b/>
                <w:i w:val="0"/>
                <w:strike w:val="0"/>
                <w:color w:val="000000"/>
                <w:sz w:val="13"/>
                <w:u w:val="none"/>
                <w:vertAlign w:val="baseline"/>
              </w:rPr>
              <w:t>3 706</w:t>
            </w:r>
            <w:bookmarkStart w:id="367" w:name="XBRL_CE_4776c672b2bf4a7f9113ec8fdd2e9d6e"/>
            <w:bookmarkEnd w:id="366"/>
            <w:bookmarkEnd w:id="367"/>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68" w:name="XBRL_CS_a7726e88522f40ad9f922837c7f019d3"/>
            <w:bookmarkEnd w:id="368"/>
            <w:bookmarkStart w:id="369" w:name="a7726e88522f40ad9f922837c7f019d3"/>
            <w:r>
              <w:rPr>
                <w:rFonts w:ascii="Arial" w:eastAsia="Arial" w:hAnsi="Arial" w:cs="Arial"/>
                <w:b w:val="0"/>
                <w:i w:val="0"/>
                <w:strike w:val="0"/>
                <w:color w:val="000000"/>
                <w:sz w:val="13"/>
                <w:u w:val="none"/>
                <w:vertAlign w:val="baseline"/>
              </w:rPr>
              <w:t>3 797</w:t>
            </w:r>
            <w:bookmarkStart w:id="370" w:name="XBRL_CE_a7726e88522f40ad9f922837c7f019d3"/>
            <w:bookmarkEnd w:id="369"/>
            <w:bookmarkEnd w:id="370"/>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Myytävänä olevat omaisuuserät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71" w:name="XBRL_CS_246ab20c8b014999b6f66ce8cfd61463"/>
            <w:bookmarkEnd w:id="371"/>
            <w:bookmarkStart w:id="372" w:name="246ab20c8b014999b6f66ce8cfd61463"/>
            <w:r>
              <w:rPr>
                <w:rFonts w:ascii="Arial" w:eastAsia="Arial" w:hAnsi="Arial" w:cs="Arial"/>
                <w:b/>
                <w:i w:val="0"/>
                <w:strike w:val="0"/>
                <w:color w:val="000000"/>
                <w:sz w:val="13"/>
                <w:u w:val="none"/>
                <w:vertAlign w:val="baseline"/>
              </w:rPr>
              <w:t>99</w:t>
            </w:r>
            <w:bookmarkStart w:id="373" w:name="XBRL_CE_246ab20c8b014999b6f66ce8cfd61463"/>
            <w:bookmarkEnd w:id="372"/>
            <w:bookmarkEnd w:id="37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74" w:name="XBRL_CS_55e1898d392d4442ac0637f42a049bc4"/>
            <w:bookmarkEnd w:id="374"/>
            <w:bookmarkStart w:id="375" w:name="55e1898d392d4442ac0637f42a049bc4"/>
            <w:r>
              <w:rPr>
                <w:rFonts w:ascii="Arial" w:eastAsia="Arial" w:hAnsi="Arial" w:cs="Arial"/>
                <w:b w:val="0"/>
                <w:i w:val="0"/>
                <w:strike w:val="0"/>
                <w:color w:val="000000"/>
                <w:sz w:val="13"/>
                <w:u w:val="none"/>
                <w:vertAlign w:val="baseline"/>
              </w:rPr>
              <w:t>82</w:t>
            </w:r>
            <w:bookmarkStart w:id="376" w:name="XBRL_CE_55e1898d392d4442ac0637f42a049bc4"/>
            <w:bookmarkEnd w:id="375"/>
            <w:bookmarkEnd w:id="376"/>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6.3.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Varat yhteensä</w:t>
            </w:r>
          </w:p>
        </w:tc>
        <w:tc>
          <w:tcPr>
            <w:tcW w:w="120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77" w:name="XBRL_CS_9fc2fa1332024cbfbe179b2ae23aa7ba"/>
            <w:bookmarkEnd w:id="377"/>
            <w:bookmarkStart w:id="378" w:name="9fc2fa1332024cbfbe179b2ae23aa7ba"/>
            <w:r>
              <w:rPr>
                <w:rFonts w:ascii="Arial" w:eastAsia="Arial" w:hAnsi="Arial" w:cs="Arial"/>
                <w:b/>
                <w:i w:val="0"/>
                <w:strike w:val="0"/>
                <w:color w:val="000000"/>
                <w:sz w:val="13"/>
                <w:u w:val="none"/>
                <w:vertAlign w:val="baseline"/>
              </w:rPr>
              <w:t>6 232</w:t>
            </w:r>
            <w:bookmarkStart w:id="379" w:name="XBRL_CE_9fc2fa1332024cbfbe179b2ae23aa7ba"/>
            <w:bookmarkEnd w:id="378"/>
            <w:bookmarkEnd w:id="379"/>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80" w:name="XBRL_CS_5dfb5b3a55f24922bdb88d8bc7776c95"/>
            <w:bookmarkEnd w:id="380"/>
            <w:bookmarkStart w:id="381" w:name="5dfb5b3a55f24922bdb88d8bc7776c95"/>
            <w:r>
              <w:rPr>
                <w:rFonts w:ascii="Arial" w:eastAsia="Arial" w:hAnsi="Arial" w:cs="Arial"/>
                <w:b w:val="0"/>
                <w:i w:val="0"/>
                <w:strike w:val="0"/>
                <w:color w:val="000000"/>
                <w:sz w:val="13"/>
                <w:u w:val="none"/>
                <w:vertAlign w:val="baseline"/>
              </w:rPr>
              <w:t>6 398</w:t>
            </w:r>
            <w:bookmarkStart w:id="382" w:name="XBRL_CE_5dfb5b3a55f24922bdb88d8bc7776c95"/>
            <w:bookmarkEnd w:id="381"/>
            <w:bookmarkEnd w:id="382"/>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 ja velat</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Osakepääoma</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83" w:name="XBRL_CS_3bc899d7607148daae2dbf8d566769f6"/>
            <w:bookmarkEnd w:id="383"/>
            <w:bookmarkStart w:id="384" w:name="3bc899d7607148daae2dbf8d566769f6"/>
            <w:r>
              <w:rPr>
                <w:rFonts w:ascii="Arial" w:eastAsia="Arial" w:hAnsi="Arial" w:cs="Arial"/>
                <w:b/>
                <w:i w:val="0"/>
                <w:strike w:val="0"/>
                <w:color w:val="000000"/>
                <w:sz w:val="13"/>
                <w:u w:val="none"/>
                <w:vertAlign w:val="baseline"/>
              </w:rPr>
              <w:t>336</w:t>
            </w:r>
            <w:bookmarkStart w:id="385" w:name="XBRL_CE_3bc899d7607148daae2dbf8d566769f6"/>
            <w:bookmarkEnd w:id="384"/>
            <w:bookmarkEnd w:id="385"/>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86" w:name="XBRL_CS_8d3849ea820346808860bd0eee3a231e"/>
            <w:bookmarkEnd w:id="386"/>
            <w:bookmarkStart w:id="387" w:name="8d3849ea820346808860bd0eee3a231e"/>
            <w:r>
              <w:rPr>
                <w:rFonts w:ascii="Arial" w:eastAsia="Arial" w:hAnsi="Arial" w:cs="Arial"/>
                <w:b w:val="0"/>
                <w:i w:val="0"/>
                <w:strike w:val="0"/>
                <w:color w:val="000000"/>
                <w:sz w:val="13"/>
                <w:u w:val="none"/>
                <w:vertAlign w:val="baseline"/>
              </w:rPr>
              <w:t>336</w:t>
            </w:r>
            <w:bookmarkStart w:id="388" w:name="XBRL_CE_8d3849ea820346808860bd0eee3a231e"/>
            <w:bookmarkEnd w:id="387"/>
            <w:bookmarkEnd w:id="388"/>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Ylikurssirahasto</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89" w:name="XBRL_CS_b54bc3ec57be4c709f8f063fbd0743ee"/>
            <w:bookmarkEnd w:id="389"/>
            <w:bookmarkStart w:id="390" w:name="b54bc3ec57be4c709f8f063fbd0743ee"/>
            <w:r>
              <w:rPr>
                <w:rFonts w:ascii="Arial" w:eastAsia="Arial" w:hAnsi="Arial" w:cs="Arial"/>
                <w:b/>
                <w:i w:val="0"/>
                <w:strike w:val="0"/>
                <w:color w:val="000000"/>
                <w:sz w:val="13"/>
                <w:u w:val="none"/>
                <w:vertAlign w:val="baseline"/>
              </w:rPr>
              <w:t>61</w:t>
            </w:r>
            <w:bookmarkStart w:id="391" w:name="XBRL_CE_b54bc3ec57be4c709f8f063fbd0743ee"/>
            <w:bookmarkEnd w:id="390"/>
            <w:bookmarkEnd w:id="391"/>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92" w:name="XBRL_CS_90b0b006be59491883bf9b911fdcada8"/>
            <w:bookmarkEnd w:id="392"/>
            <w:bookmarkStart w:id="393" w:name="90b0b006be59491883bf9b911fdcada8"/>
            <w:r>
              <w:rPr>
                <w:rFonts w:ascii="Arial" w:eastAsia="Arial" w:hAnsi="Arial" w:cs="Arial"/>
                <w:b w:val="0"/>
                <w:i w:val="0"/>
                <w:strike w:val="0"/>
                <w:color w:val="000000"/>
                <w:sz w:val="13"/>
                <w:u w:val="none"/>
                <w:vertAlign w:val="baseline"/>
              </w:rPr>
              <w:t>61</w:t>
            </w:r>
            <w:bookmarkStart w:id="394" w:name="XBRL_CE_90b0b006be59491883bf9b911fdcada8"/>
            <w:bookmarkEnd w:id="393"/>
            <w:bookmarkEnd w:id="394"/>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Muuntoerot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395" w:name="XBRL_CS_9dd56de54cfe4b41bfc75dd037ff2eeb"/>
            <w:bookmarkEnd w:id="395"/>
            <w:bookmarkStart w:id="396" w:name="9dd56de54cfe4b41bfc75dd037ff2eeb"/>
            <w:r>
              <w:rPr>
                <w:rFonts w:ascii="Arial" w:eastAsia="Arial" w:hAnsi="Arial" w:cs="Arial"/>
                <w:b/>
                <w:i w:val="0"/>
                <w:strike w:val="0"/>
                <w:color w:val="000000"/>
                <w:sz w:val="13"/>
                <w:u w:val="none"/>
                <w:vertAlign w:val="baseline"/>
              </w:rPr>
              <w:t>-197</w:t>
            </w:r>
            <w:bookmarkStart w:id="397" w:name="XBRL_CE_9dd56de54cfe4b41bfc75dd037ff2eeb"/>
            <w:bookmarkEnd w:id="396"/>
            <w:bookmarkEnd w:id="397"/>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398" w:name="XBRL_CS_2fe0d9eb3c8a449d9c6f28e93cd457c4"/>
            <w:bookmarkEnd w:id="398"/>
            <w:bookmarkStart w:id="399" w:name="2fe0d9eb3c8a449d9c6f28e93cd457c4"/>
            <w:r>
              <w:rPr>
                <w:rFonts w:ascii="Arial" w:eastAsia="Arial" w:hAnsi="Arial" w:cs="Arial"/>
                <w:b w:val="0"/>
                <w:i w:val="0"/>
                <w:strike w:val="0"/>
                <w:color w:val="000000"/>
                <w:sz w:val="13"/>
                <w:u w:val="none"/>
                <w:vertAlign w:val="baseline"/>
              </w:rPr>
              <w:t>-114</w:t>
            </w:r>
            <w:bookmarkStart w:id="400" w:name="XBRL_CE_2fe0d9eb3c8a449d9c6f28e93cd457c4"/>
            <w:bookmarkEnd w:id="399"/>
            <w:bookmarkEnd w:id="400"/>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Arvonmuutosrahasto</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01" w:name="XBRL_CS_f27a551d4aac4f068a06485e1cfdd206"/>
            <w:bookmarkEnd w:id="401"/>
            <w:bookmarkStart w:id="402" w:name="f27a551d4aac4f068a06485e1cfdd206"/>
            <w:r>
              <w:rPr>
                <w:rFonts w:ascii="Arial" w:eastAsia="Arial" w:hAnsi="Arial" w:cs="Arial"/>
                <w:b/>
                <w:i w:val="0"/>
                <w:strike w:val="0"/>
                <w:color w:val="000000"/>
                <w:sz w:val="13"/>
                <w:u w:val="none"/>
                <w:vertAlign w:val="baseline"/>
              </w:rPr>
              <w:t>-9</w:t>
            </w:r>
            <w:bookmarkStart w:id="403" w:name="XBRL_CE_f27a551d4aac4f068a06485e1cfdd206"/>
            <w:bookmarkEnd w:id="402"/>
            <w:bookmarkEnd w:id="403"/>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04" w:name="XBRL_CS_3f6f11238d684cc9958ed5640f20257b"/>
            <w:bookmarkEnd w:id="404"/>
            <w:bookmarkStart w:id="405" w:name="3f6f11238d684cc9958ed5640f20257b"/>
            <w:r>
              <w:rPr>
                <w:rFonts w:ascii="Arial" w:eastAsia="Arial" w:hAnsi="Arial" w:cs="Arial"/>
                <w:b w:val="0"/>
                <w:i w:val="0"/>
                <w:strike w:val="0"/>
                <w:color w:val="000000"/>
                <w:sz w:val="13"/>
                <w:u w:val="none"/>
                <w:vertAlign w:val="baseline"/>
              </w:rPr>
              <w:t>-11</w:t>
            </w:r>
            <w:bookmarkStart w:id="406" w:name="XBRL_CE_3f6f11238d684cc9958ed5640f20257b"/>
            <w:bookmarkEnd w:id="405"/>
            <w:bookmarkEnd w:id="406"/>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Etuuspohjaisen nettovelan uudelleenmäärittämisestä johtuvat erät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07" w:name="XBRL_CS_878a7579ec114fa59a9fa909a5d7dd73"/>
            <w:bookmarkEnd w:id="407"/>
            <w:bookmarkStart w:id="408" w:name="878a7579ec114fa59a9fa909a5d7dd73"/>
            <w:r>
              <w:rPr>
                <w:rFonts w:ascii="Arial" w:eastAsia="Arial" w:hAnsi="Arial" w:cs="Arial"/>
                <w:b/>
                <w:i w:val="0"/>
                <w:strike w:val="0"/>
                <w:color w:val="000000"/>
                <w:sz w:val="13"/>
                <w:u w:val="none"/>
                <w:vertAlign w:val="baseline"/>
              </w:rPr>
              <w:t>-45</w:t>
            </w:r>
            <w:bookmarkStart w:id="409" w:name="XBRL_CE_878a7579ec114fa59a9fa909a5d7dd73"/>
            <w:bookmarkEnd w:id="408"/>
            <w:bookmarkEnd w:id="409"/>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10" w:name="XBRL_CS_8476ff2cafda4c8ab6cf12aa1b60e41c"/>
            <w:bookmarkEnd w:id="410"/>
            <w:bookmarkStart w:id="411" w:name="8476ff2cafda4c8ab6cf12aa1b60e41c"/>
            <w:r>
              <w:rPr>
                <w:rFonts w:ascii="Arial" w:eastAsia="Arial" w:hAnsi="Arial" w:cs="Arial"/>
                <w:b w:val="0"/>
                <w:i w:val="0"/>
                <w:strike w:val="0"/>
                <w:color w:val="000000"/>
                <w:sz w:val="13"/>
                <w:u w:val="none"/>
                <w:vertAlign w:val="baseline"/>
              </w:rPr>
              <w:t>-55</w:t>
            </w:r>
            <w:bookmarkStart w:id="412" w:name="XBRL_CE_8476ff2cafda4c8ab6cf12aa1b60e41c"/>
            <w:bookmarkEnd w:id="411"/>
            <w:bookmarkEnd w:id="412"/>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voittovarat</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13" w:name="XBRL_CS_ffc8e2d3d9254add9d3b52468376e858"/>
            <w:bookmarkEnd w:id="413"/>
            <w:bookmarkStart w:id="414" w:name="ffc8e2d3d9254add9d3b52468376e858"/>
            <w:r>
              <w:rPr>
                <w:rFonts w:ascii="Arial" w:eastAsia="Arial" w:hAnsi="Arial" w:cs="Arial"/>
                <w:b/>
                <w:i w:val="0"/>
                <w:strike w:val="0"/>
                <w:color w:val="000000"/>
                <w:sz w:val="13"/>
                <w:u w:val="none"/>
                <w:vertAlign w:val="baseline"/>
              </w:rPr>
              <w:t>2 030</w:t>
            </w:r>
            <w:bookmarkStart w:id="415" w:name="XBRL_CE_ffc8e2d3d9254add9d3b52468376e858"/>
            <w:bookmarkEnd w:id="414"/>
            <w:bookmarkEnd w:id="415"/>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16" w:name="XBRL_CS_e2fa6735662844e7855370337921fa41"/>
            <w:bookmarkEnd w:id="416"/>
            <w:bookmarkStart w:id="417" w:name="e2fa6735662844e7855370337921fa41"/>
            <w:r>
              <w:rPr>
                <w:rFonts w:ascii="Arial" w:eastAsia="Arial" w:hAnsi="Arial" w:cs="Arial"/>
                <w:b w:val="0"/>
                <w:i w:val="0"/>
                <w:strike w:val="0"/>
                <w:color w:val="000000"/>
                <w:sz w:val="13"/>
                <w:u w:val="none"/>
                <w:vertAlign w:val="baseline"/>
              </w:rPr>
              <w:t>2 178</w:t>
            </w:r>
            <w:bookmarkStart w:id="418" w:name="XBRL_CE_e2fa6735662844e7855370337921fa41"/>
            <w:bookmarkEnd w:id="417"/>
            <w:bookmarkEnd w:id="418"/>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388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Emoyhtiön omistajille kuuluva oma pääoma</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19" w:name="XBRL_CS_9fe422201bbf431988fb02f6f74336cd"/>
            <w:bookmarkEnd w:id="419"/>
            <w:bookmarkStart w:id="420" w:name="9fe422201bbf431988fb02f6f74336cd"/>
            <w:r>
              <w:rPr>
                <w:rFonts w:ascii="Arial" w:eastAsia="Arial" w:hAnsi="Arial" w:cs="Arial"/>
                <w:b/>
                <w:i w:val="0"/>
                <w:strike w:val="0"/>
                <w:color w:val="000000"/>
                <w:sz w:val="13"/>
                <w:u w:val="none"/>
                <w:vertAlign w:val="baseline"/>
              </w:rPr>
              <w:t>2 177</w:t>
            </w:r>
            <w:bookmarkStart w:id="421" w:name="XBRL_CE_9fe422201bbf431988fb02f6f74336cd"/>
            <w:bookmarkEnd w:id="420"/>
            <w:bookmarkEnd w:id="421"/>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22" w:name="XBRL_CS_2689bfd625af4e96962d50809b99c15a"/>
            <w:bookmarkEnd w:id="422"/>
            <w:bookmarkStart w:id="423" w:name="2689bfd625af4e96962d50809b99c15a"/>
            <w:r>
              <w:rPr>
                <w:rFonts w:ascii="Arial" w:eastAsia="Arial" w:hAnsi="Arial" w:cs="Arial"/>
                <w:b w:val="0"/>
                <w:i w:val="0"/>
                <w:strike w:val="0"/>
                <w:color w:val="000000"/>
                <w:sz w:val="13"/>
                <w:u w:val="none"/>
                <w:vertAlign w:val="baseline"/>
              </w:rPr>
              <w:t>2 396</w:t>
            </w:r>
            <w:bookmarkStart w:id="424" w:name="XBRL_CE_2689bfd625af4e96962d50809b99c15a"/>
            <w:bookmarkEnd w:id="423"/>
            <w:bookmarkEnd w:id="424"/>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Määräysvallattomien omistajien osuus</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25" w:name="XBRL_CS_8a8a8846e96d469f8b5fffdabb4484e3"/>
            <w:bookmarkEnd w:id="425"/>
            <w:bookmarkStart w:id="426" w:name="8a8a8846e96d469f8b5fffdabb4484e3"/>
            <w:bookmarkStart w:id="427" w:name="XBRL_CS_85180b17544a40b7b7cab532dd138a01"/>
            <w:bookmarkEnd w:id="427"/>
            <w:bookmarkStart w:id="428" w:name="85180b17544a40b7b7cab532dd138a01"/>
            <w:r>
              <w:rPr>
                <w:rFonts w:ascii="Arial" w:eastAsia="Arial" w:hAnsi="Arial" w:cs="Arial"/>
                <w:b/>
                <w:i w:val="0"/>
                <w:strike w:val="0"/>
                <w:color w:val="000000"/>
                <w:sz w:val="13"/>
                <w:u w:val="none"/>
                <w:vertAlign w:val="baseline"/>
              </w:rPr>
              <w:t>11</w:t>
            </w:r>
            <w:bookmarkStart w:id="429" w:name="XBRL_CE_85180b17544a40b7b7cab532dd138a01"/>
            <w:bookmarkEnd w:id="428"/>
            <w:bookmarkEnd w:id="429"/>
            <w:bookmarkStart w:id="430" w:name="XBRL_CE_8a8a8846e96d469f8b5fffdabb4484e3"/>
            <w:bookmarkEnd w:id="426"/>
            <w:bookmarkEnd w:id="430"/>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31" w:name="XBRL_CS_11cd934f96ea483495ba50f3cd813e8a"/>
            <w:bookmarkEnd w:id="431"/>
            <w:bookmarkStart w:id="432" w:name="11cd934f96ea483495ba50f3cd813e8a"/>
            <w:r>
              <w:rPr>
                <w:rFonts w:ascii="Arial" w:eastAsia="Arial" w:hAnsi="Arial" w:cs="Arial"/>
                <w:b w:val="0"/>
                <w:i w:val="0"/>
                <w:strike w:val="0"/>
                <w:color w:val="000000"/>
                <w:sz w:val="13"/>
                <w:u w:val="none"/>
                <w:vertAlign w:val="baseline"/>
              </w:rPr>
              <w:t>14</w:t>
            </w:r>
            <w:bookmarkStart w:id="433" w:name="XBRL_CE_11cd934f96ea483495ba50f3cd813e8a"/>
            <w:bookmarkEnd w:id="432"/>
            <w:bookmarkEnd w:id="433"/>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 yhteensä</w:t>
            </w:r>
          </w:p>
        </w:tc>
        <w:tc>
          <w:tcPr>
            <w:tcW w:w="120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34" w:name="XBRL_CS_8a50c570edec4a7fa55cd588c9be716c"/>
            <w:bookmarkEnd w:id="434"/>
            <w:bookmarkStart w:id="435" w:name="8a50c570edec4a7fa55cd588c9be716c"/>
            <w:r>
              <w:rPr>
                <w:rFonts w:ascii="Arial" w:eastAsia="Arial" w:hAnsi="Arial" w:cs="Arial"/>
                <w:b/>
                <w:i w:val="0"/>
                <w:strike w:val="0"/>
                <w:color w:val="000000"/>
                <w:sz w:val="13"/>
                <w:u w:val="none"/>
                <w:vertAlign w:val="baseline"/>
              </w:rPr>
              <w:t>2 188</w:t>
            </w:r>
            <w:bookmarkStart w:id="436" w:name="XBRL_CE_8a50c570edec4a7fa55cd588c9be716c"/>
            <w:bookmarkEnd w:id="435"/>
            <w:bookmarkEnd w:id="436"/>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37" w:name="XBRL_CS_224a8a4ba411458ca1a4a38f700324ad"/>
            <w:bookmarkEnd w:id="437"/>
            <w:bookmarkStart w:id="438" w:name="224a8a4ba411458ca1a4a38f700324ad"/>
            <w:r>
              <w:rPr>
                <w:rFonts w:ascii="Arial" w:eastAsia="Arial" w:hAnsi="Arial" w:cs="Arial"/>
                <w:b w:val="0"/>
                <w:i w:val="0"/>
                <w:strike w:val="0"/>
                <w:color w:val="000000"/>
                <w:sz w:val="13"/>
                <w:u w:val="none"/>
                <w:vertAlign w:val="baseline"/>
              </w:rPr>
              <w:t>2 410</w:t>
            </w:r>
            <w:bookmarkStart w:id="439" w:name="XBRL_CE_224a8a4ba411458ca1a4a38f700324ad"/>
            <w:bookmarkEnd w:id="438"/>
            <w:bookmarkEnd w:id="439"/>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velat</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40" w:name="XBRL_CS_71b25d74a586425fab715f8425997cc7"/>
            <w:bookmarkEnd w:id="440"/>
            <w:bookmarkStart w:id="441" w:name="71b25d74a586425fab715f8425997cc7"/>
            <w:r>
              <w:rPr>
                <w:rFonts w:ascii="Arial" w:eastAsia="Arial" w:hAnsi="Arial" w:cs="Arial"/>
                <w:b/>
                <w:i w:val="0"/>
                <w:strike w:val="0"/>
                <w:color w:val="000000"/>
                <w:sz w:val="13"/>
                <w:u w:val="none"/>
                <w:vertAlign w:val="baseline"/>
              </w:rPr>
              <w:t>1 129</w:t>
            </w:r>
            <w:bookmarkStart w:id="442" w:name="XBRL_CE_71b25d74a586425fab715f8425997cc7"/>
            <w:bookmarkEnd w:id="441"/>
            <w:bookmarkEnd w:id="442"/>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43" w:name="XBRL_CS_8c38645497124ee5a7b62d38f95fb515"/>
            <w:bookmarkEnd w:id="443"/>
            <w:bookmarkStart w:id="444" w:name="8c38645497124ee5a7b62d38f95fb515"/>
            <w:r>
              <w:rPr>
                <w:rFonts w:ascii="Arial" w:eastAsia="Arial" w:hAnsi="Arial" w:cs="Arial"/>
                <w:b w:val="0"/>
                <w:i w:val="0"/>
                <w:strike w:val="0"/>
                <w:color w:val="000000"/>
                <w:sz w:val="13"/>
                <w:u w:val="none"/>
                <w:vertAlign w:val="baseline"/>
              </w:rPr>
              <w:t>997</w:t>
            </w:r>
            <w:bookmarkStart w:id="445" w:name="XBRL_CE_8c38645497124ee5a7b62d38f95fb515"/>
            <w:bookmarkEnd w:id="444"/>
            <w:bookmarkEnd w:id="445"/>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5.2., 5.4., 5.6.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Laskennalliset verovelat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46" w:name="XBRL_CS_271a8442599c48238e302555822c32cb"/>
            <w:bookmarkEnd w:id="446"/>
            <w:bookmarkStart w:id="447" w:name="271a8442599c48238e302555822c32cb"/>
            <w:r>
              <w:rPr>
                <w:rFonts w:ascii="Arial" w:eastAsia="Arial" w:hAnsi="Arial" w:cs="Arial"/>
                <w:b/>
                <w:i w:val="0"/>
                <w:strike w:val="0"/>
                <w:color w:val="000000"/>
                <w:sz w:val="13"/>
                <w:u w:val="none"/>
                <w:vertAlign w:val="baseline"/>
              </w:rPr>
              <w:t>76</w:t>
            </w:r>
            <w:bookmarkStart w:id="448" w:name="XBRL_CE_271a8442599c48238e302555822c32cb"/>
            <w:bookmarkEnd w:id="447"/>
            <w:bookmarkEnd w:id="448"/>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49" w:name="XBRL_CS_0f7b1ea0befb4e5787bc47c54e24a17d"/>
            <w:bookmarkEnd w:id="449"/>
            <w:bookmarkStart w:id="450" w:name="0f7b1ea0befb4e5787bc47c54e24a17d"/>
            <w:r>
              <w:rPr>
                <w:rFonts w:ascii="Arial" w:eastAsia="Arial" w:hAnsi="Arial" w:cs="Arial"/>
                <w:b w:val="0"/>
                <w:i w:val="0"/>
                <w:strike w:val="0"/>
                <w:color w:val="000000"/>
                <w:sz w:val="13"/>
                <w:u w:val="none"/>
                <w:vertAlign w:val="baseline"/>
              </w:rPr>
              <w:t>83</w:t>
            </w:r>
            <w:bookmarkStart w:id="451" w:name="XBRL_CE_0f7b1ea0befb4e5787bc47c54e24a17d"/>
            <w:bookmarkEnd w:id="450"/>
            <w:bookmarkEnd w:id="451"/>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Eläkevelvoitteet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52" w:name="XBRL_CS_e6a6c6ce69d04ef2803431ca24a12d93"/>
            <w:bookmarkEnd w:id="452"/>
            <w:bookmarkStart w:id="453" w:name="e6a6c6ce69d04ef2803431ca24a12d93"/>
            <w:r>
              <w:rPr>
                <w:rFonts w:ascii="Arial" w:eastAsia="Arial" w:hAnsi="Arial" w:cs="Arial"/>
                <w:b/>
                <w:i w:val="0"/>
                <w:strike w:val="0"/>
                <w:color w:val="000000"/>
                <w:sz w:val="13"/>
                <w:u w:val="none"/>
                <w:vertAlign w:val="baseline"/>
              </w:rPr>
              <w:t>139</w:t>
            </w:r>
            <w:bookmarkStart w:id="454" w:name="XBRL_CE_e6a6c6ce69d04ef2803431ca24a12d93"/>
            <w:bookmarkEnd w:id="453"/>
            <w:bookmarkEnd w:id="454"/>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55" w:name="XBRL_CS_b307dc3ebe8445ecaf434d087abc9edb"/>
            <w:bookmarkEnd w:id="455"/>
            <w:bookmarkStart w:id="456" w:name="b307dc3ebe8445ecaf434d087abc9edb"/>
            <w:r>
              <w:rPr>
                <w:rFonts w:ascii="Arial" w:eastAsia="Arial" w:hAnsi="Arial" w:cs="Arial"/>
                <w:b w:val="0"/>
                <w:i w:val="0"/>
                <w:strike w:val="0"/>
                <w:color w:val="000000"/>
                <w:sz w:val="13"/>
                <w:u w:val="none"/>
                <w:vertAlign w:val="baseline"/>
              </w:rPr>
              <w:t>155</w:t>
            </w:r>
            <w:bookmarkStart w:id="457" w:name="XBRL_CE_b307dc3ebe8445ecaf434d087abc9edb"/>
            <w:bookmarkEnd w:id="456"/>
            <w:bookmarkEnd w:id="457"/>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Varaukset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58" w:name="XBRL_CS_777033d1158e45eb8c6422eb535549d9"/>
            <w:bookmarkEnd w:id="458"/>
            <w:bookmarkStart w:id="459" w:name="777033d1158e45eb8c6422eb535549d9"/>
            <w:r>
              <w:rPr>
                <w:rFonts w:ascii="Arial" w:eastAsia="Arial" w:hAnsi="Arial" w:cs="Arial"/>
                <w:b/>
                <w:i w:val="0"/>
                <w:strike w:val="0"/>
                <w:color w:val="000000"/>
                <w:sz w:val="13"/>
                <w:u w:val="none"/>
                <w:vertAlign w:val="baseline"/>
              </w:rPr>
              <w:t>55</w:t>
            </w:r>
            <w:bookmarkStart w:id="460" w:name="XBRL_CE_777033d1158e45eb8c6422eb535549d9"/>
            <w:bookmarkEnd w:id="459"/>
            <w:bookmarkEnd w:id="460"/>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61" w:name="XBRL_CS_54d1eea9f9e542caa6aca09a6c84745a"/>
            <w:bookmarkEnd w:id="461"/>
            <w:bookmarkStart w:id="462" w:name="54d1eea9f9e542caa6aca09a6c84745a"/>
            <w:r>
              <w:rPr>
                <w:rFonts w:ascii="Arial" w:eastAsia="Arial" w:hAnsi="Arial" w:cs="Arial"/>
                <w:b w:val="0"/>
                <w:i w:val="0"/>
                <w:strike w:val="0"/>
                <w:color w:val="000000"/>
                <w:sz w:val="13"/>
                <w:u w:val="none"/>
                <w:vertAlign w:val="baseline"/>
              </w:rPr>
              <w:t>45</w:t>
            </w:r>
            <w:bookmarkStart w:id="463" w:name="XBRL_CE_54d1eea9f9e542caa6aca09a6c84745a"/>
            <w:bookmarkEnd w:id="462"/>
            <w:bookmarkEnd w:id="463"/>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Sopimukseen perustuvat velat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64" w:name="XBRL_CS_b939053a145047bd8276cd457ddbd177"/>
            <w:bookmarkEnd w:id="464"/>
            <w:bookmarkStart w:id="465" w:name="b939053a145047bd8276cd457ddbd177"/>
            <w:r>
              <w:rPr>
                <w:rFonts w:ascii="Arial" w:eastAsia="Arial" w:hAnsi="Arial" w:cs="Arial"/>
                <w:b/>
                <w:i w:val="0"/>
                <w:strike w:val="0"/>
                <w:color w:val="000000"/>
                <w:sz w:val="13"/>
                <w:u w:val="none"/>
                <w:vertAlign w:val="baseline"/>
              </w:rPr>
              <w:t>51</w:t>
            </w:r>
            <w:bookmarkStart w:id="466" w:name="XBRL_CE_b939053a145047bd8276cd457ddbd177"/>
            <w:bookmarkEnd w:id="465"/>
            <w:bookmarkEnd w:id="466"/>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67" w:name="XBRL_CS_9b630af7c9884aeda65308044fa13c04"/>
            <w:bookmarkEnd w:id="467"/>
            <w:bookmarkStart w:id="468" w:name="9b630af7c9884aeda65308044fa13c04"/>
            <w:r>
              <w:rPr>
                <w:rFonts w:ascii="Arial" w:eastAsia="Arial" w:hAnsi="Arial" w:cs="Arial"/>
                <w:b w:val="0"/>
                <w:i w:val="0"/>
                <w:strike w:val="0"/>
                <w:color w:val="000000"/>
                <w:sz w:val="13"/>
                <w:u w:val="none"/>
                <w:vertAlign w:val="baseline"/>
              </w:rPr>
              <w:t>38</w:t>
            </w:r>
            <w:bookmarkStart w:id="469" w:name="XBRL_CE_9b630af7c9884aeda65308044fa13c04"/>
            <w:bookmarkEnd w:id="468"/>
            <w:bookmarkEnd w:id="469"/>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velat</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70" w:name="XBRL_CS_dc890fdaeb084397b1f3d103ebe46e11"/>
            <w:bookmarkEnd w:id="470"/>
            <w:bookmarkStart w:id="471" w:name="dc890fdaeb084397b1f3d103ebe46e11"/>
            <w:r>
              <w:rPr>
                <w:rFonts w:ascii="Arial" w:eastAsia="Arial" w:hAnsi="Arial" w:cs="Arial"/>
                <w:b/>
                <w:i w:val="0"/>
                <w:strike w:val="0"/>
                <w:color w:val="000000"/>
                <w:sz w:val="13"/>
                <w:u w:val="none"/>
                <w:vertAlign w:val="baseline"/>
              </w:rPr>
              <w:t>1</w:t>
            </w:r>
            <w:bookmarkStart w:id="472" w:name="XBRL_CE_dc890fdaeb084397b1f3d103ebe46e11"/>
            <w:bookmarkEnd w:id="471"/>
            <w:bookmarkEnd w:id="472"/>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73" w:name="XBRL_CS_b39769f4ce1b46658f22602d7a5968bd"/>
            <w:bookmarkEnd w:id="473"/>
            <w:bookmarkStart w:id="474" w:name="b39769f4ce1b46658f22602d7a5968bd"/>
            <w:r>
              <w:rPr>
                <w:rFonts w:ascii="Arial" w:eastAsia="Arial" w:hAnsi="Arial" w:cs="Arial"/>
                <w:b w:val="0"/>
                <w:i w:val="0"/>
                <w:strike w:val="0"/>
                <w:color w:val="000000"/>
                <w:sz w:val="13"/>
                <w:u w:val="none"/>
                <w:vertAlign w:val="baseline"/>
              </w:rPr>
              <w:t>1</w:t>
            </w:r>
            <w:bookmarkStart w:id="475" w:name="XBRL_CE_b39769f4ce1b46658f22602d7a5968bd"/>
            <w:bookmarkEnd w:id="474"/>
            <w:bookmarkEnd w:id="475"/>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3.4., 4.4.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velat yhteensä</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76" w:name="XBRL_CS_240d47c1ea6e4aa6939187fcdbf40a1c"/>
            <w:bookmarkEnd w:id="476"/>
            <w:bookmarkStart w:id="477" w:name="240d47c1ea6e4aa6939187fcdbf40a1c"/>
            <w:r>
              <w:rPr>
                <w:rFonts w:ascii="Arial" w:eastAsia="Arial" w:hAnsi="Arial" w:cs="Arial"/>
                <w:b/>
                <w:i w:val="0"/>
                <w:strike w:val="0"/>
                <w:color w:val="000000"/>
                <w:sz w:val="13"/>
                <w:u w:val="none"/>
                <w:vertAlign w:val="baseline"/>
              </w:rPr>
              <w:t>1 451</w:t>
            </w:r>
            <w:bookmarkStart w:id="478" w:name="XBRL_CE_240d47c1ea6e4aa6939187fcdbf40a1c"/>
            <w:bookmarkEnd w:id="477"/>
            <w:bookmarkEnd w:id="478"/>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79" w:name="XBRL_CS_3561da5bb52241908b97d1fa405962a3"/>
            <w:bookmarkEnd w:id="479"/>
            <w:bookmarkStart w:id="480" w:name="3561da5bb52241908b97d1fa405962a3"/>
            <w:r>
              <w:rPr>
                <w:rFonts w:ascii="Arial" w:eastAsia="Arial" w:hAnsi="Arial" w:cs="Arial"/>
                <w:b w:val="0"/>
                <w:i w:val="0"/>
                <w:strike w:val="0"/>
                <w:color w:val="000000"/>
                <w:sz w:val="13"/>
                <w:u w:val="none"/>
                <w:vertAlign w:val="baseline"/>
              </w:rPr>
              <w:t>1 317</w:t>
            </w:r>
            <w:bookmarkStart w:id="481" w:name="XBRL_CE_3561da5bb52241908b97d1fa405962a3"/>
            <w:bookmarkEnd w:id="480"/>
            <w:bookmarkEnd w:id="481"/>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velat</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82" w:name="XBRL_CS_5c6faf720c2c4bfc8dfeb42143786563"/>
            <w:bookmarkEnd w:id="482"/>
            <w:bookmarkStart w:id="483" w:name="5c6faf720c2c4bfc8dfeb42143786563"/>
            <w:r>
              <w:rPr>
                <w:rFonts w:ascii="Arial" w:eastAsia="Arial" w:hAnsi="Arial" w:cs="Arial"/>
                <w:b/>
                <w:i w:val="0"/>
                <w:strike w:val="0"/>
                <w:color w:val="000000"/>
                <w:sz w:val="13"/>
                <w:u w:val="none"/>
                <w:vertAlign w:val="baseline"/>
              </w:rPr>
              <w:t>198</w:t>
            </w:r>
            <w:bookmarkStart w:id="484" w:name="XBRL_CE_5c6faf720c2c4bfc8dfeb42143786563"/>
            <w:bookmarkEnd w:id="483"/>
            <w:bookmarkEnd w:id="484"/>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85" w:name="XBRL_CS_cbd3c5baee7044b590412e534d4255f7"/>
            <w:bookmarkEnd w:id="485"/>
            <w:bookmarkStart w:id="486" w:name="cbd3c5baee7044b590412e534d4255f7"/>
            <w:r>
              <w:rPr>
                <w:rFonts w:ascii="Arial" w:eastAsia="Arial" w:hAnsi="Arial" w:cs="Arial"/>
                <w:b w:val="0"/>
                <w:i w:val="0"/>
                <w:strike w:val="0"/>
                <w:color w:val="000000"/>
                <w:sz w:val="13"/>
                <w:u w:val="none"/>
                <w:vertAlign w:val="baseline"/>
              </w:rPr>
              <w:t>99</w:t>
            </w:r>
            <w:bookmarkStart w:id="487" w:name="XBRL_CE_cbd3c5baee7044b590412e534d4255f7"/>
            <w:bookmarkEnd w:id="486"/>
            <w:bookmarkEnd w:id="487"/>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5.2., 5.4., 5.6.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Varaukset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88" w:name="XBRL_CS_c0ce1666931b49b296e669b81ce4f76b"/>
            <w:bookmarkEnd w:id="488"/>
            <w:bookmarkStart w:id="489" w:name="c0ce1666931b49b296e669b81ce4f76b"/>
            <w:r>
              <w:rPr>
                <w:rFonts w:ascii="Arial" w:eastAsia="Arial" w:hAnsi="Arial" w:cs="Arial"/>
                <w:b/>
                <w:i w:val="0"/>
                <w:strike w:val="0"/>
                <w:color w:val="000000"/>
                <w:sz w:val="13"/>
                <w:u w:val="none"/>
                <w:vertAlign w:val="baseline"/>
              </w:rPr>
              <w:t>269</w:t>
            </w:r>
            <w:bookmarkStart w:id="490" w:name="XBRL_CE_c0ce1666931b49b296e669b81ce4f76b"/>
            <w:bookmarkEnd w:id="489"/>
            <w:bookmarkEnd w:id="490"/>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91" w:name="XBRL_CS_75bafc38d69e458bb697d45fdbc08d18"/>
            <w:bookmarkEnd w:id="491"/>
            <w:bookmarkStart w:id="492" w:name="75bafc38d69e458bb697d45fdbc08d18"/>
            <w:r>
              <w:rPr>
                <w:rFonts w:ascii="Arial" w:eastAsia="Arial" w:hAnsi="Arial" w:cs="Arial"/>
                <w:b w:val="0"/>
                <w:i w:val="0"/>
                <w:strike w:val="0"/>
                <w:color w:val="000000"/>
                <w:sz w:val="13"/>
                <w:u w:val="none"/>
                <w:vertAlign w:val="baseline"/>
              </w:rPr>
              <w:t>278</w:t>
            </w:r>
            <w:bookmarkStart w:id="493" w:name="XBRL_CE_75bafc38d69e458bb697d45fdbc08d18"/>
            <w:bookmarkEnd w:id="492"/>
            <w:bookmarkEnd w:id="493"/>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494" w:name="XBRL_CS_dc6b948af0a94635a4b02f56a26df416"/>
            <w:bookmarkEnd w:id="494"/>
            <w:bookmarkStart w:id="495" w:name="dc6b948af0a94635a4b02f56a26df416"/>
            <w:r>
              <w:rPr>
                <w:rFonts w:ascii="Arial" w:eastAsia="Arial" w:hAnsi="Arial" w:cs="Arial"/>
                <w:b/>
                <w:i w:val="0"/>
                <w:strike w:val="0"/>
                <w:color w:val="000000"/>
                <w:sz w:val="13"/>
                <w:u w:val="none"/>
                <w:vertAlign w:val="baseline"/>
              </w:rPr>
              <w:t>411</w:t>
            </w:r>
            <w:bookmarkStart w:id="496" w:name="XBRL_CE_dc6b948af0a94635a4b02f56a26df416"/>
            <w:bookmarkEnd w:id="495"/>
            <w:bookmarkEnd w:id="496"/>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497" w:name="XBRL_CS_33326b8a1ee44facb7f4a14b70297343"/>
            <w:bookmarkEnd w:id="497"/>
            <w:bookmarkStart w:id="498" w:name="33326b8a1ee44facb7f4a14b70297343"/>
            <w:r>
              <w:rPr>
                <w:rFonts w:ascii="Arial" w:eastAsia="Arial" w:hAnsi="Arial" w:cs="Arial"/>
                <w:b w:val="0"/>
                <w:i w:val="0"/>
                <w:strike w:val="0"/>
                <w:color w:val="000000"/>
                <w:sz w:val="13"/>
                <w:u w:val="none"/>
                <w:vertAlign w:val="baseline"/>
              </w:rPr>
              <w:t>624</w:t>
            </w:r>
            <w:bookmarkStart w:id="499" w:name="XBRL_CE_33326b8a1ee44facb7f4a14b70297343"/>
            <w:bookmarkEnd w:id="498"/>
            <w:bookmarkEnd w:id="499"/>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4.4., 5.2., 5.6.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Verovelat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00" w:name="XBRL_CS_aab6e62bd4784ee9a62ed25d23da837f"/>
            <w:bookmarkEnd w:id="500"/>
            <w:bookmarkStart w:id="501" w:name="aab6e62bd4784ee9a62ed25d23da837f"/>
            <w:r>
              <w:rPr>
                <w:rFonts w:ascii="Arial" w:eastAsia="Arial" w:hAnsi="Arial" w:cs="Arial"/>
                <w:b/>
                <w:i w:val="0"/>
                <w:strike w:val="0"/>
                <w:color w:val="000000"/>
                <w:sz w:val="13"/>
                <w:u w:val="none"/>
                <w:vertAlign w:val="baseline"/>
              </w:rPr>
              <w:t>56</w:t>
            </w:r>
            <w:bookmarkStart w:id="502" w:name="XBRL_CE_aab6e62bd4784ee9a62ed25d23da837f"/>
            <w:bookmarkEnd w:id="501"/>
            <w:bookmarkEnd w:id="502"/>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03" w:name="XBRL_CS_a26a64c2242546e097cbffcb9230f9b8"/>
            <w:bookmarkEnd w:id="503"/>
            <w:bookmarkStart w:id="504" w:name="a26a64c2242546e097cbffcb9230f9b8"/>
            <w:r>
              <w:rPr>
                <w:rFonts w:ascii="Arial" w:eastAsia="Arial" w:hAnsi="Arial" w:cs="Arial"/>
                <w:b w:val="0"/>
                <w:i w:val="0"/>
                <w:strike w:val="0"/>
                <w:color w:val="000000"/>
                <w:sz w:val="13"/>
                <w:u w:val="none"/>
                <w:vertAlign w:val="baseline"/>
              </w:rPr>
              <w:t>100</w:t>
            </w:r>
            <w:bookmarkStart w:id="505" w:name="XBRL_CE_a26a64c2242546e097cbffcb9230f9b8"/>
            <w:bookmarkEnd w:id="504"/>
            <w:bookmarkEnd w:id="505"/>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Sopimukseen perustuvat velat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06" w:name="XBRL_CS_e7f4cc6aca044cf29226b99614c644ba"/>
            <w:bookmarkEnd w:id="506"/>
            <w:bookmarkStart w:id="507" w:name="e7f4cc6aca044cf29226b99614c644ba"/>
            <w:r>
              <w:rPr>
                <w:rFonts w:ascii="Arial" w:eastAsia="Arial" w:hAnsi="Arial" w:cs="Arial"/>
                <w:b/>
                <w:i w:val="0"/>
                <w:strike w:val="0"/>
                <w:color w:val="000000"/>
                <w:sz w:val="13"/>
                <w:u w:val="none"/>
                <w:vertAlign w:val="baseline"/>
              </w:rPr>
              <w:t>926</w:t>
            </w:r>
            <w:bookmarkStart w:id="508" w:name="XBRL_CE_e7f4cc6aca044cf29226b99614c644ba"/>
            <w:bookmarkEnd w:id="507"/>
            <w:bookmarkEnd w:id="508"/>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09" w:name="XBRL_CS_907fbbbba8ac427f937aea5aa68db60c"/>
            <w:bookmarkEnd w:id="509"/>
            <w:bookmarkStart w:id="510" w:name="907fbbbba8ac427f937aea5aa68db60c"/>
            <w:r>
              <w:rPr>
                <w:rFonts w:ascii="Arial" w:eastAsia="Arial" w:hAnsi="Arial" w:cs="Arial"/>
                <w:b w:val="0"/>
                <w:i w:val="0"/>
                <w:strike w:val="0"/>
                <w:color w:val="000000"/>
                <w:sz w:val="13"/>
                <w:u w:val="none"/>
                <w:vertAlign w:val="baseline"/>
              </w:rPr>
              <w:t>880</w:t>
            </w:r>
            <w:bookmarkStart w:id="511" w:name="XBRL_CE_907fbbbba8ac427f937aea5aa68db60c"/>
            <w:bookmarkEnd w:id="510"/>
            <w:bookmarkEnd w:id="511"/>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4.2.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velat</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12" w:name="XBRL_CS_bd1a7f2d021141e285b77ec956a861f0"/>
            <w:bookmarkEnd w:id="512"/>
            <w:bookmarkStart w:id="513" w:name="bd1a7f2d021141e285b77ec956a861f0"/>
            <w:r>
              <w:rPr>
                <w:rFonts w:ascii="Arial" w:eastAsia="Arial" w:hAnsi="Arial" w:cs="Arial"/>
                <w:b/>
                <w:i w:val="0"/>
                <w:strike w:val="0"/>
                <w:color w:val="000000"/>
                <w:sz w:val="13"/>
                <w:u w:val="none"/>
                <w:vertAlign w:val="baseline"/>
              </w:rPr>
              <w:t>664</w:t>
            </w:r>
            <w:bookmarkStart w:id="514" w:name="XBRL_CE_bd1a7f2d021141e285b77ec956a861f0"/>
            <w:bookmarkEnd w:id="513"/>
            <w:bookmarkEnd w:id="514"/>
          </w:p>
        </w:tc>
        <w:tc>
          <w:tcPr>
            <w:tcW w:w="120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15" w:name="XBRL_CS_76443251da8343d5bbe727d0d3a6a408"/>
            <w:bookmarkEnd w:id="515"/>
            <w:bookmarkStart w:id="516" w:name="76443251da8343d5bbe727d0d3a6a408"/>
            <w:r>
              <w:rPr>
                <w:rFonts w:ascii="Arial" w:eastAsia="Arial" w:hAnsi="Arial" w:cs="Arial"/>
                <w:b w:val="0"/>
                <w:i w:val="0"/>
                <w:strike w:val="0"/>
                <w:color w:val="000000"/>
                <w:sz w:val="13"/>
                <w:u w:val="none"/>
                <w:vertAlign w:val="baseline"/>
              </w:rPr>
              <w:t>622</w:t>
            </w:r>
            <w:bookmarkStart w:id="517" w:name="XBRL_CE_76443251da8343d5bbe727d0d3a6a408"/>
            <w:bookmarkEnd w:id="516"/>
            <w:bookmarkEnd w:id="517"/>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3.4., 4.4.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velat yhteensä</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18" w:name="XBRL_CS_7b6c9e1ab017414897e7ea9f71aa4ed2"/>
            <w:bookmarkEnd w:id="518"/>
            <w:bookmarkStart w:id="519" w:name="7b6c9e1ab017414897e7ea9f71aa4ed2"/>
            <w:r>
              <w:rPr>
                <w:rFonts w:ascii="Arial" w:eastAsia="Arial" w:hAnsi="Arial" w:cs="Arial"/>
                <w:b/>
                <w:i w:val="0"/>
                <w:strike w:val="0"/>
                <w:color w:val="000000"/>
                <w:sz w:val="13"/>
                <w:u w:val="none"/>
                <w:vertAlign w:val="baseline"/>
              </w:rPr>
              <w:t>2 524</w:t>
            </w:r>
            <w:bookmarkStart w:id="520" w:name="XBRL_CE_7b6c9e1ab017414897e7ea9f71aa4ed2"/>
            <w:bookmarkEnd w:id="519"/>
            <w:bookmarkEnd w:id="520"/>
          </w:p>
        </w:tc>
        <w:tc>
          <w:tcPr>
            <w:tcW w:w="120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21" w:name="XBRL_CS_ed80fcfa4fc64c9587f869a3b723af6e"/>
            <w:bookmarkEnd w:id="521"/>
            <w:bookmarkStart w:id="522" w:name="ed80fcfa4fc64c9587f869a3b723af6e"/>
            <w:r>
              <w:rPr>
                <w:rFonts w:ascii="Arial" w:eastAsia="Arial" w:hAnsi="Arial" w:cs="Arial"/>
                <w:b w:val="0"/>
                <w:i w:val="0"/>
                <w:strike w:val="0"/>
                <w:color w:val="000000"/>
                <w:sz w:val="13"/>
                <w:u w:val="none"/>
                <w:vertAlign w:val="baseline"/>
              </w:rPr>
              <w:t>2 603</w:t>
            </w:r>
            <w:bookmarkStart w:id="523" w:name="XBRL_CE_ed80fcfa4fc64c9587f869a3b723af6e"/>
            <w:bookmarkEnd w:id="522"/>
            <w:bookmarkEnd w:id="523"/>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 yhteensä</w:t>
            </w:r>
          </w:p>
        </w:tc>
        <w:tc>
          <w:tcPr>
            <w:tcW w:w="120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24" w:name="XBRL_CS_9de84eb8d4e748fb9bbed310e754d9f2"/>
            <w:bookmarkEnd w:id="524"/>
            <w:bookmarkStart w:id="525" w:name="9de84eb8d4e748fb9bbed310e754d9f2"/>
            <w:r>
              <w:rPr>
                <w:rFonts w:ascii="Arial" w:eastAsia="Arial" w:hAnsi="Arial" w:cs="Arial"/>
                <w:b/>
                <w:i w:val="0"/>
                <w:strike w:val="0"/>
                <w:color w:val="000000"/>
                <w:sz w:val="13"/>
                <w:u w:val="none"/>
                <w:vertAlign w:val="baseline"/>
              </w:rPr>
              <w:t>3 975</w:t>
            </w:r>
            <w:bookmarkStart w:id="526" w:name="XBRL_CE_9de84eb8d4e748fb9bbed310e754d9f2"/>
            <w:bookmarkEnd w:id="525"/>
            <w:bookmarkEnd w:id="526"/>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27" w:name="XBRL_CS_28ddff99f24f485a96c1c2edc24b7107"/>
            <w:bookmarkEnd w:id="527"/>
            <w:bookmarkStart w:id="528" w:name="28ddff99f24f485a96c1c2edc24b7107"/>
            <w:r>
              <w:rPr>
                <w:rFonts w:ascii="Arial" w:eastAsia="Arial" w:hAnsi="Arial" w:cs="Arial"/>
                <w:b w:val="0"/>
                <w:i w:val="0"/>
                <w:strike w:val="0"/>
                <w:color w:val="000000"/>
                <w:sz w:val="13"/>
                <w:u w:val="none"/>
                <w:vertAlign w:val="baseline"/>
              </w:rPr>
              <w:t>3 920</w:t>
            </w:r>
            <w:bookmarkStart w:id="529" w:name="XBRL_CE_28ddff99f24f485a96c1c2edc24b7107"/>
            <w:bookmarkEnd w:id="528"/>
            <w:bookmarkEnd w:id="529"/>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Myytävänä oleviin omaisuuseriin liittyvät velat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30" w:name="XBRL_CS_8cec0eb4d7cd4f5bae48e5854e64a871"/>
            <w:bookmarkEnd w:id="530"/>
            <w:bookmarkStart w:id="531" w:name="8cec0eb4d7cd4f5bae48e5854e64a871"/>
            <w:r>
              <w:rPr>
                <w:rFonts w:ascii="Arial" w:eastAsia="Arial" w:hAnsi="Arial" w:cs="Arial"/>
                <w:b/>
                <w:i w:val="0"/>
                <w:strike w:val="0"/>
                <w:color w:val="000000"/>
                <w:sz w:val="13"/>
                <w:u w:val="none"/>
                <w:vertAlign w:val="baseline"/>
              </w:rPr>
              <w:t>68</w:t>
            </w:r>
            <w:bookmarkStart w:id="532" w:name="XBRL_CE_8cec0eb4d7cd4f5bae48e5854e64a871"/>
            <w:bookmarkEnd w:id="531"/>
            <w:bookmarkEnd w:id="532"/>
          </w:p>
        </w:tc>
        <w:tc>
          <w:tcPr>
            <w:tcW w:w="120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33" w:name="XBRL_CS_029cc8a3b2794051bc2d44d19b5b839f"/>
            <w:bookmarkEnd w:id="533"/>
            <w:bookmarkStart w:id="534" w:name="029cc8a3b2794051bc2d44d19b5b839f"/>
            <w:r>
              <w:rPr>
                <w:rFonts w:ascii="Arial" w:eastAsia="Arial" w:hAnsi="Arial" w:cs="Arial"/>
                <w:b w:val="0"/>
                <w:i w:val="0"/>
                <w:strike w:val="0"/>
                <w:color w:val="000000"/>
                <w:sz w:val="13"/>
                <w:u w:val="none"/>
                <w:vertAlign w:val="baseline"/>
              </w:rPr>
              <w:t>68</w:t>
            </w:r>
            <w:bookmarkStart w:id="535" w:name="XBRL_CE_029cc8a3b2794051bc2d44d19b5b839f"/>
            <w:bookmarkEnd w:id="534"/>
            <w:bookmarkEnd w:id="535"/>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single"/>
                <w:vertAlign w:val="baseline"/>
              </w:rPr>
            </w:pPr>
            <w:r>
              <w:rPr>
                <w:rFonts w:ascii="Arial" w:eastAsia="Arial" w:hAnsi="Arial" w:cs="Arial"/>
                <w:b w:val="0"/>
                <w:i w:val="0"/>
                <w:strike w:val="0"/>
                <w:color w:val="E56D0A"/>
                <w:sz w:val="13"/>
                <w:u w:val="single"/>
                <w:vertAlign w:val="baseline"/>
              </w:rPr>
              <w:t>6.3.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38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 ja velat yhteensä</w:t>
            </w:r>
          </w:p>
        </w:tc>
        <w:tc>
          <w:tcPr>
            <w:tcW w:w="120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36" w:name="XBRL_CS_71bf16f28eee4191820e61c892dd0d90"/>
            <w:bookmarkEnd w:id="536"/>
            <w:bookmarkStart w:id="537" w:name="71bf16f28eee4191820e61c892dd0d90"/>
            <w:r>
              <w:rPr>
                <w:rFonts w:ascii="Arial" w:eastAsia="Arial" w:hAnsi="Arial" w:cs="Arial"/>
                <w:b/>
                <w:i w:val="0"/>
                <w:strike w:val="0"/>
                <w:color w:val="000000"/>
                <w:sz w:val="13"/>
                <w:u w:val="none"/>
                <w:vertAlign w:val="baseline"/>
              </w:rPr>
              <w:t>6 232</w:t>
            </w:r>
            <w:bookmarkStart w:id="538" w:name="XBRL_CE_71bf16f28eee4191820e61c892dd0d90"/>
            <w:bookmarkEnd w:id="537"/>
            <w:bookmarkEnd w:id="538"/>
          </w:p>
        </w:tc>
        <w:tc>
          <w:tcPr>
            <w:tcW w:w="120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39" w:name="XBRL_CS_2f813372bfb24ed6874969282c33a90e"/>
            <w:bookmarkEnd w:id="539"/>
            <w:bookmarkStart w:id="540" w:name="2f813372bfb24ed6874969282c33a90e"/>
            <w:r>
              <w:rPr>
                <w:rFonts w:ascii="Arial" w:eastAsia="Arial" w:hAnsi="Arial" w:cs="Arial"/>
                <w:b w:val="0"/>
                <w:i w:val="0"/>
                <w:strike w:val="0"/>
                <w:color w:val="000000"/>
                <w:sz w:val="13"/>
                <w:u w:val="none"/>
                <w:vertAlign w:val="baseline"/>
              </w:rPr>
              <w:t>6 398</w:t>
            </w:r>
            <w:bookmarkStart w:id="541" w:name="XBRL_CE_2f813372bfb24ed6874969282c33a90e"/>
            <w:bookmarkEnd w:id="540"/>
            <w:bookmarkEnd w:id="541"/>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bl>
    <w:p w:rsidR="00137450" w:rsidP="002642EE" w14:paraId="5597E54E" w14:textId="77777777">
      <w:pPr>
        <w:pStyle w:val="Bodytext2"/>
        <w:rPr>
          <w:lang w:val="fi-FI"/>
        </w:rPr>
      </w:pPr>
      <w:bookmarkStart w:id="542" w:name="RG_MARKER_4692"/>
      <w:bookmarkEnd w:id="542"/>
    </w:p>
    <w:p w:rsidR="002642EE" w:rsidRPr="00D868F7" w:rsidP="002642EE" w14:paraId="1C0B00D4" w14:textId="030AEFA3">
      <w:pPr>
        <w:pStyle w:val="Bodytext2"/>
        <w:rPr>
          <w:sz w:val="2"/>
          <w:szCs w:val="2"/>
          <w:lang w:val="fi-FI"/>
        </w:rPr>
      </w:pPr>
      <w:r w:rsidRPr="00D868F7">
        <w:rPr>
          <w:lang w:val="fi-FI"/>
        </w:rPr>
        <w:t>Liitetiedot ovat osa tätä tilinpäätöstä.</w:t>
      </w:r>
      <w:r w:rsidRPr="00D868F7">
        <w:rPr>
          <w:sz w:val="2"/>
          <w:szCs w:val="2"/>
          <w:lang w:val="fi-FI"/>
        </w:rPr>
        <w:br w:type="column"/>
      </w:r>
    </w:p>
    <w:p w:rsidR="002642EE" w:rsidP="002642EE" w14:textId="54F1F690">
      <w:pPr>
        <w:pStyle w:val="Heading10"/>
      </w:pPr>
      <w:bookmarkStart w:id="543" w:name="RG_MARKER_4687"/>
      <w:r>
        <w:t>KONSERNIN RAHAVIRTALASKELMA</w:t>
      </w:r>
      <w:bookmarkEnd w:id="543"/>
    </w:p>
    <w:p/>
    <w:tbl>
      <w:tblPr>
        <w:tblStyle w:val="CDMRange2"/>
        <w:tblW w:w="7365" w:type="dxa"/>
        <w:tblLayout w:type="fixed"/>
        <w:tblLook w:val="0600"/>
      </w:tblPr>
      <w:tblGrid>
        <w:gridCol w:w="3885"/>
        <w:gridCol w:w="1200"/>
        <w:gridCol w:w="1200"/>
        <w:gridCol w:w="1080"/>
      </w:tblGrid>
      <w:tr>
        <w:tblPrEx>
          <w:tblW w:w="7365" w:type="dxa"/>
          <w:tblLayout w:type="fixed"/>
          <w:tblLook w:val="0600"/>
        </w:tblPrEx>
        <w:trPr>
          <w:trHeight w:hRule="exact" w:val="240"/>
        </w:trPr>
        <w:tc>
          <w:tcPr>
            <w:tcW w:w="38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0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0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Note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Liiketoiminnan rahavirta:</w:t>
            </w:r>
          </w:p>
        </w:tc>
        <w:tc>
          <w:tcPr>
            <w:tcW w:w="120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tulos</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44" w:name="XBRL_CS_470167a9d84a4391bd5404c7885503d9"/>
            <w:bookmarkEnd w:id="544"/>
            <w:bookmarkStart w:id="545" w:name="470167a9d84a4391bd5404c7885503d9"/>
            <w:r>
              <w:rPr>
                <w:rFonts w:ascii="Arial" w:eastAsia="Arial" w:hAnsi="Arial" w:cs="Arial"/>
                <w:b/>
                <w:i w:val="0"/>
                <w:strike w:val="0"/>
                <w:color w:val="000000"/>
                <w:sz w:val="13"/>
                <w:u w:val="none"/>
                <w:vertAlign w:val="baseline"/>
              </w:rPr>
              <w:t>133</w:t>
            </w:r>
            <w:bookmarkStart w:id="546" w:name="XBRL_CE_470167a9d84a4391bd5404c7885503d9"/>
            <w:bookmarkEnd w:id="545"/>
            <w:bookmarkEnd w:id="546"/>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47" w:name="XBRL_CS_4627f347a1c14afe9d4ea7627b347473"/>
            <w:bookmarkEnd w:id="547"/>
            <w:bookmarkStart w:id="548" w:name="4627f347a1c14afe9d4ea7627b347473"/>
            <w:r>
              <w:rPr>
                <w:rFonts w:ascii="Arial" w:eastAsia="Arial" w:hAnsi="Arial" w:cs="Arial"/>
                <w:b w:val="0"/>
                <w:i w:val="0"/>
                <w:strike w:val="0"/>
                <w:color w:val="000000"/>
                <w:sz w:val="13"/>
                <w:u w:val="none"/>
                <w:vertAlign w:val="baseline"/>
              </w:rPr>
              <w:t>218</w:t>
            </w:r>
            <w:bookmarkStart w:id="549" w:name="XBRL_CE_4627f347a1c14afe9d4ea7627b347473"/>
            <w:bookmarkEnd w:id="548"/>
            <w:bookmarkEnd w:id="549"/>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Oikaisut:</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50" w:name="XBRL_CS_0580d0191f1f4a09ac3819a7a9af32a1"/>
            <w:bookmarkEnd w:id="550"/>
            <w:bookmarkStart w:id="551" w:name="0580d0191f1f4a09ac3819a7a9af32a1"/>
            <w:r>
              <w:rPr>
                <w:rFonts w:ascii="Arial" w:eastAsia="Arial" w:hAnsi="Arial" w:cs="Arial"/>
                <w:b/>
                <w:i w:val="0"/>
                <w:strike w:val="0"/>
                <w:color w:val="000000"/>
                <w:sz w:val="13"/>
                <w:u w:val="none"/>
                <w:vertAlign w:val="baseline"/>
              </w:rPr>
              <w:t>174</w:t>
            </w:r>
            <w:bookmarkStart w:id="552" w:name="XBRL_CE_0580d0191f1f4a09ac3819a7a9af32a1"/>
            <w:bookmarkEnd w:id="551"/>
            <w:bookmarkEnd w:id="552"/>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53" w:name="XBRL_CS_8f2ed0225af6468293f2b31d8ae90a0a"/>
            <w:bookmarkEnd w:id="553"/>
            <w:bookmarkStart w:id="554" w:name="8f2ed0225af6468293f2b31d8ae90a0a"/>
            <w:r>
              <w:rPr>
                <w:rFonts w:ascii="Arial" w:eastAsia="Arial" w:hAnsi="Arial" w:cs="Arial"/>
                <w:b w:val="0"/>
                <w:i w:val="0"/>
                <w:strike w:val="0"/>
                <w:color w:val="000000"/>
                <w:sz w:val="13"/>
                <w:u w:val="none"/>
                <w:vertAlign w:val="baseline"/>
              </w:rPr>
              <w:t>180</w:t>
            </w:r>
            <w:bookmarkStart w:id="555" w:name="XBRL_CE_8f2ed0225af6468293f2b31d8ae90a0a"/>
            <w:bookmarkEnd w:id="554"/>
            <w:bookmarkEnd w:id="555"/>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Rahoitustuotot ja -kulut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56" w:name="XBRL_CS_c89a34091672442db30dea540341677c"/>
            <w:bookmarkEnd w:id="556"/>
            <w:bookmarkStart w:id="557" w:name="c89a34091672442db30dea540341677c"/>
            <w:r>
              <w:rPr>
                <w:rFonts w:ascii="Arial" w:eastAsia="Arial" w:hAnsi="Arial" w:cs="Arial"/>
                <w:b/>
                <w:i w:val="0"/>
                <w:strike w:val="0"/>
                <w:color w:val="000000"/>
                <w:sz w:val="13"/>
                <w:u w:val="none"/>
                <w:vertAlign w:val="baseline"/>
              </w:rPr>
              <w:t>43</w:t>
            </w:r>
            <w:bookmarkStart w:id="558" w:name="XBRL_CE_c89a34091672442db30dea540341677c"/>
            <w:bookmarkEnd w:id="557"/>
            <w:bookmarkEnd w:id="558"/>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59" w:name="XBRL_CS_ee6652620ab44e5c81e4040ebfea9a5e"/>
            <w:bookmarkEnd w:id="559"/>
            <w:bookmarkStart w:id="560" w:name="ee6652620ab44e5c81e4040ebfea9a5e"/>
            <w:r>
              <w:rPr>
                <w:rFonts w:ascii="Arial" w:eastAsia="Arial" w:hAnsi="Arial" w:cs="Arial"/>
                <w:b w:val="0"/>
                <w:i w:val="0"/>
                <w:strike w:val="0"/>
                <w:color w:val="000000"/>
                <w:sz w:val="13"/>
                <w:u w:val="none"/>
                <w:vertAlign w:val="baseline"/>
              </w:rPr>
              <w:t>47</w:t>
            </w:r>
            <w:bookmarkStart w:id="561" w:name="XBRL_CE_ee6652620ab44e5c81e4040ebfea9a5e"/>
            <w:bookmarkEnd w:id="560"/>
            <w:bookmarkEnd w:id="561"/>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Aineettomien ja aineellisten hyödykkeiden myyntivoitot ja -tappiot ja muut oikaisut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62" w:name="XBRL_CS_635e66ab4d0d4da384955191fe124b3f"/>
            <w:bookmarkEnd w:id="562"/>
            <w:bookmarkStart w:id="563" w:name="635e66ab4d0d4da384955191fe124b3f"/>
            <w:r>
              <w:rPr>
                <w:rFonts w:ascii="Arial" w:eastAsia="Arial" w:hAnsi="Arial" w:cs="Arial"/>
                <w:b/>
                <w:i w:val="0"/>
                <w:strike w:val="0"/>
                <w:color w:val="000000"/>
                <w:sz w:val="13"/>
                <w:u w:val="none"/>
                <w:vertAlign w:val="baseline"/>
              </w:rPr>
              <w:t>-9</w:t>
            </w:r>
            <w:bookmarkStart w:id="564" w:name="XBRL_CE_635e66ab4d0d4da384955191fe124b3f"/>
            <w:bookmarkEnd w:id="563"/>
            <w:bookmarkEnd w:id="564"/>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65" w:name="XBRL_CS_86e41ffeddf54ac8a2728e838702a95b"/>
            <w:bookmarkEnd w:id="565"/>
            <w:bookmarkStart w:id="566" w:name="86e41ffeddf54ac8a2728e838702a95b"/>
            <w:r>
              <w:rPr>
                <w:rFonts w:ascii="Arial" w:eastAsia="Arial" w:hAnsi="Arial" w:cs="Arial"/>
                <w:b w:val="0"/>
                <w:i w:val="0"/>
                <w:strike w:val="0"/>
                <w:color w:val="000000"/>
                <w:sz w:val="13"/>
                <w:u w:val="none"/>
                <w:vertAlign w:val="baseline"/>
              </w:rPr>
              <w:t>-15</w:t>
            </w:r>
            <w:bookmarkStart w:id="567" w:name="XBRL_CE_86e41ffeddf54ac8a2728e838702a95b"/>
            <w:bookmarkEnd w:id="566"/>
            <w:bookmarkEnd w:id="567"/>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Osuus osakkuus- ja yhteisyritysten tuloksista</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68" w:name="XBRL_CS_91ce4ba52d6d4a2c95fd355356bf51cc"/>
            <w:bookmarkEnd w:id="568"/>
            <w:bookmarkStart w:id="569" w:name="91ce4ba52d6d4a2c95fd355356bf51cc"/>
            <w:r>
              <w:rPr>
                <w:rFonts w:ascii="Arial" w:eastAsia="Arial" w:hAnsi="Arial" w:cs="Arial"/>
                <w:b/>
                <w:i w:val="0"/>
                <w:strike w:val="0"/>
                <w:color w:val="000000"/>
                <w:sz w:val="13"/>
                <w:u w:val="none"/>
                <w:vertAlign w:val="baseline"/>
              </w:rPr>
              <w:t>-3</w:t>
            </w:r>
            <w:bookmarkStart w:id="570" w:name="XBRL_CE_91ce4ba52d6d4a2c95fd355356bf51cc"/>
            <w:bookmarkEnd w:id="569"/>
            <w:bookmarkEnd w:id="570"/>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71" w:name="XBRL_CS_3401022329b6432a9e72ce590d4053c9"/>
            <w:bookmarkEnd w:id="571"/>
            <w:bookmarkStart w:id="572" w:name="3401022329b6432a9e72ce590d4053c9"/>
            <w:r>
              <w:rPr>
                <w:rFonts w:ascii="Arial" w:eastAsia="Arial" w:hAnsi="Arial" w:cs="Arial"/>
                <w:b w:val="0"/>
                <w:i w:val="0"/>
                <w:strike w:val="0"/>
                <w:color w:val="000000"/>
                <w:sz w:val="13"/>
                <w:u w:val="none"/>
                <w:vertAlign w:val="baseline"/>
              </w:rPr>
              <w:t>9</w:t>
            </w:r>
            <w:bookmarkStart w:id="573" w:name="XBRL_CE_3401022329b6432a9e72ce590d4053c9"/>
            <w:bookmarkEnd w:id="572"/>
            <w:bookmarkEnd w:id="573"/>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4" w:space="0" w:color="004A6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Tuloverot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74" w:name="XBRL_CS_e0bc3716bc6f4201b05bd0eaf5c8f45f"/>
            <w:bookmarkEnd w:id="574"/>
            <w:bookmarkStart w:id="575" w:name="e0bc3716bc6f4201b05bd0eaf5c8f45f"/>
            <w:r>
              <w:rPr>
                <w:rFonts w:ascii="Arial" w:eastAsia="Arial" w:hAnsi="Arial" w:cs="Arial"/>
                <w:b/>
                <w:i w:val="0"/>
                <w:strike w:val="0"/>
                <w:color w:val="000000"/>
                <w:sz w:val="13"/>
                <w:u w:val="none"/>
                <w:vertAlign w:val="baseline"/>
              </w:rPr>
              <w:t>58</w:t>
            </w:r>
            <w:bookmarkStart w:id="576" w:name="XBRL_CE_e0bc3716bc6f4201b05bd0eaf5c8f45f"/>
            <w:bookmarkEnd w:id="575"/>
            <w:bookmarkEnd w:id="576"/>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77" w:name="XBRL_CS_1814e53b478a4363ad9a2fed150315e3"/>
            <w:bookmarkEnd w:id="577"/>
            <w:bookmarkStart w:id="578" w:name="1814e53b478a4363ad9a2fed150315e3"/>
            <w:r>
              <w:rPr>
                <w:rFonts w:ascii="Arial" w:eastAsia="Arial" w:hAnsi="Arial" w:cs="Arial"/>
                <w:b w:val="0"/>
                <w:i w:val="0"/>
                <w:strike w:val="0"/>
                <w:color w:val="000000"/>
                <w:sz w:val="13"/>
                <w:u w:val="none"/>
                <w:vertAlign w:val="baseline"/>
              </w:rPr>
              <w:t>97</w:t>
            </w:r>
            <w:bookmarkStart w:id="579" w:name="XBRL_CE_1814e53b478a4363ad9a2fed150315e3"/>
            <w:bookmarkEnd w:id="578"/>
            <w:bookmarkEnd w:id="579"/>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2.6.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Muut oikaisut, joilla ei ole rahavirtavaikutusta </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80" w:name="XBRL_CS_397f92c9ac384e378bdcf0e1d26fce6d"/>
            <w:bookmarkEnd w:id="580"/>
            <w:bookmarkStart w:id="581" w:name="397f92c9ac384e378bdcf0e1d26fce6d"/>
            <w:r>
              <w:rPr>
                <w:rFonts w:ascii="Arial" w:eastAsia="Arial" w:hAnsi="Arial" w:cs="Arial"/>
                <w:b/>
                <w:i w:val="0"/>
                <w:strike w:val="0"/>
                <w:color w:val="000000"/>
                <w:sz w:val="13"/>
                <w:u w:val="none"/>
                <w:vertAlign w:val="baseline"/>
              </w:rPr>
              <w:t>7</w:t>
            </w:r>
            <w:bookmarkStart w:id="582" w:name="XBRL_CE_397f92c9ac384e378bdcf0e1d26fce6d"/>
            <w:bookmarkEnd w:id="581"/>
            <w:bookmarkEnd w:id="582"/>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83" w:name="XBRL_CS_98618db01a55403bbda9072c8bd0eb76"/>
            <w:bookmarkEnd w:id="583"/>
            <w:bookmarkStart w:id="584" w:name="98618db01a55403bbda9072c8bd0eb76"/>
            <w:r>
              <w:rPr>
                <w:rFonts w:ascii="Arial" w:eastAsia="Arial" w:hAnsi="Arial" w:cs="Arial"/>
                <w:b w:val="0"/>
                <w:i w:val="0"/>
                <w:strike w:val="0"/>
                <w:color w:val="000000"/>
                <w:sz w:val="13"/>
                <w:u w:val="none"/>
                <w:vertAlign w:val="baseline"/>
              </w:rPr>
              <w:t>3</w:t>
            </w:r>
            <w:bookmarkStart w:id="585" w:name="XBRL_CE_98618db01a55403bbda9072c8bd0eb76"/>
            <w:bookmarkEnd w:id="584"/>
            <w:bookmarkEnd w:id="585"/>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Liiketoiminnan rahavirta ennen käyttöpääoman muutosta</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86" w:name="XBRL_CS_d85f7dd627034a87acfcc10291e3978e"/>
            <w:bookmarkEnd w:id="586"/>
            <w:bookmarkStart w:id="587" w:name="d85f7dd627034a87acfcc10291e3978e"/>
            <w:r>
              <w:rPr>
                <w:rFonts w:ascii="Arial" w:eastAsia="Arial" w:hAnsi="Arial" w:cs="Arial"/>
                <w:b/>
                <w:i w:val="0"/>
                <w:strike w:val="0"/>
                <w:color w:val="000000"/>
                <w:sz w:val="13"/>
                <w:u w:val="none"/>
                <w:vertAlign w:val="baseline"/>
              </w:rPr>
              <w:t>403</w:t>
            </w:r>
            <w:bookmarkStart w:id="588" w:name="XBRL_CE_d85f7dd627034a87acfcc10291e3978e"/>
            <w:bookmarkEnd w:id="587"/>
            <w:bookmarkEnd w:id="588"/>
          </w:p>
        </w:tc>
        <w:tc>
          <w:tcPr>
            <w:tcW w:w="120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89" w:name="XBRL_CS_1e05be62276349789f965c767437ee20"/>
            <w:bookmarkEnd w:id="589"/>
            <w:bookmarkStart w:id="590" w:name="1e05be62276349789f965c767437ee20"/>
            <w:r>
              <w:rPr>
                <w:rFonts w:ascii="Arial" w:eastAsia="Arial" w:hAnsi="Arial" w:cs="Arial"/>
                <w:b w:val="0"/>
                <w:i w:val="0"/>
                <w:strike w:val="0"/>
                <w:color w:val="000000"/>
                <w:sz w:val="13"/>
                <w:u w:val="none"/>
                <w:vertAlign w:val="baseline"/>
              </w:rPr>
              <w:t>540</w:t>
            </w:r>
            <w:bookmarkStart w:id="591" w:name="XBRL_CE_1e05be62276349789f965c767437ee20"/>
            <w:bookmarkEnd w:id="590"/>
            <w:bookmarkEnd w:id="591"/>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Käyttöpääoman muutos:</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Korottomien saamisten lisäys (-) / vähennys (+)</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92" w:name="XBRL_CS_d995889e1c9647dfac46f71049633df8"/>
            <w:bookmarkEnd w:id="592"/>
            <w:bookmarkStart w:id="593" w:name="d995889e1c9647dfac46f71049633df8"/>
            <w:r>
              <w:rPr>
                <w:rFonts w:ascii="Arial" w:eastAsia="Arial" w:hAnsi="Arial" w:cs="Arial"/>
                <w:b/>
                <w:i w:val="0"/>
                <w:strike w:val="0"/>
                <w:color w:val="000000"/>
                <w:sz w:val="13"/>
                <w:u w:val="none"/>
                <w:vertAlign w:val="baseline"/>
              </w:rPr>
              <w:t>338</w:t>
            </w:r>
            <w:bookmarkStart w:id="594" w:name="XBRL_CE_d995889e1c9647dfac46f71049633df8"/>
            <w:bookmarkEnd w:id="593"/>
            <w:bookmarkEnd w:id="594"/>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595" w:name="XBRL_CS_33633314bda240b18ef05301e1073afa"/>
            <w:bookmarkEnd w:id="595"/>
            <w:bookmarkStart w:id="596" w:name="33633314bda240b18ef05301e1073afa"/>
            <w:r>
              <w:rPr>
                <w:rFonts w:ascii="Arial" w:eastAsia="Arial" w:hAnsi="Arial" w:cs="Arial"/>
                <w:b w:val="0"/>
                <w:i w:val="0"/>
                <w:strike w:val="0"/>
                <w:color w:val="000000"/>
                <w:sz w:val="13"/>
                <w:u w:val="none"/>
                <w:vertAlign w:val="baseline"/>
              </w:rPr>
              <w:t>9</w:t>
            </w:r>
            <w:bookmarkStart w:id="597" w:name="XBRL_CE_33633314bda240b18ef05301e1073afa"/>
            <w:bookmarkEnd w:id="596"/>
            <w:bookmarkEnd w:id="597"/>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Vaihto-omaisuuden lisäys (-) / vähennys (+)</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598" w:name="XBRL_CS_4e463b51504f4ccf86007e5d353a0dfb"/>
            <w:bookmarkEnd w:id="598"/>
            <w:bookmarkStart w:id="599" w:name="4e463b51504f4ccf86007e5d353a0dfb"/>
            <w:r>
              <w:rPr>
                <w:rFonts w:ascii="Arial" w:eastAsia="Arial" w:hAnsi="Arial" w:cs="Arial"/>
                <w:b/>
                <w:i w:val="0"/>
                <w:strike w:val="0"/>
                <w:color w:val="000000"/>
                <w:sz w:val="13"/>
                <w:u w:val="none"/>
                <w:vertAlign w:val="baseline"/>
              </w:rPr>
              <w:t>122</w:t>
            </w:r>
            <w:bookmarkStart w:id="600" w:name="XBRL_CE_4e463b51504f4ccf86007e5d353a0dfb"/>
            <w:bookmarkEnd w:id="599"/>
            <w:bookmarkEnd w:id="600"/>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01" w:name="XBRL_CS_275eccd9b85e488e9bb65df250a06e9e"/>
            <w:bookmarkEnd w:id="601"/>
            <w:bookmarkStart w:id="602" w:name="275eccd9b85e488e9bb65df250a06e9e"/>
            <w:r>
              <w:rPr>
                <w:rFonts w:ascii="Arial" w:eastAsia="Arial" w:hAnsi="Arial" w:cs="Arial"/>
                <w:b w:val="0"/>
                <w:i w:val="0"/>
                <w:strike w:val="0"/>
                <w:color w:val="000000"/>
                <w:sz w:val="13"/>
                <w:u w:val="none"/>
                <w:vertAlign w:val="baseline"/>
              </w:rPr>
              <w:t>-213</w:t>
            </w:r>
            <w:bookmarkStart w:id="603" w:name="XBRL_CE_275eccd9b85e488e9bb65df250a06e9e"/>
            <w:bookmarkEnd w:id="602"/>
            <w:bookmarkEnd w:id="603"/>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4.1.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Korottomien velkojen lisäys (+) / vähennys (-)</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04" w:name="XBRL_CS_fd7ad8e887124efeb7337ed2e57f250c"/>
            <w:bookmarkEnd w:id="604"/>
            <w:bookmarkStart w:id="605" w:name="fd7ad8e887124efeb7337ed2e57f250c"/>
            <w:r>
              <w:rPr>
                <w:rFonts w:ascii="Arial" w:eastAsia="Arial" w:hAnsi="Arial" w:cs="Arial"/>
                <w:b/>
                <w:i w:val="0"/>
                <w:strike w:val="0"/>
                <w:color w:val="000000"/>
                <w:sz w:val="13"/>
                <w:u w:val="none"/>
                <w:vertAlign w:val="baseline"/>
              </w:rPr>
              <w:t>-32</w:t>
            </w:r>
            <w:bookmarkStart w:id="606" w:name="XBRL_CE_fd7ad8e887124efeb7337ed2e57f250c"/>
            <w:bookmarkEnd w:id="605"/>
            <w:bookmarkEnd w:id="606"/>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07" w:name="XBRL_CS_5ddd948d7f1449b499645307e435d7ce"/>
            <w:bookmarkEnd w:id="607"/>
            <w:bookmarkStart w:id="608" w:name="5ddd948d7f1449b499645307e435d7ce"/>
            <w:r>
              <w:rPr>
                <w:rFonts w:ascii="Arial" w:eastAsia="Arial" w:hAnsi="Arial" w:cs="Arial"/>
                <w:b w:val="0"/>
                <w:i w:val="0"/>
                <w:strike w:val="0"/>
                <w:color w:val="000000"/>
                <w:sz w:val="13"/>
                <w:u w:val="none"/>
                <w:vertAlign w:val="baseline"/>
              </w:rPr>
              <w:t>74</w:t>
            </w:r>
            <w:bookmarkStart w:id="609" w:name="XBRL_CE_5ddd948d7f1449b499645307e435d7ce"/>
            <w:bookmarkEnd w:id="608"/>
            <w:bookmarkEnd w:id="609"/>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Käyttöpääoman muutos</w:t>
            </w:r>
          </w:p>
        </w:tc>
        <w:tc>
          <w:tcPr>
            <w:tcW w:w="120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10" w:name="XBRL_CS_1d758003b8604bb3a1d785fc4cf888e9"/>
            <w:bookmarkEnd w:id="610"/>
            <w:bookmarkStart w:id="611" w:name="1d758003b8604bb3a1d785fc4cf888e9"/>
            <w:r>
              <w:rPr>
                <w:rFonts w:ascii="Arial" w:eastAsia="Arial" w:hAnsi="Arial" w:cs="Arial"/>
                <w:b/>
                <w:i w:val="0"/>
                <w:strike w:val="0"/>
                <w:color w:val="000000"/>
                <w:sz w:val="13"/>
                <w:u w:val="none"/>
                <w:vertAlign w:val="baseline"/>
              </w:rPr>
              <w:t>428</w:t>
            </w:r>
            <w:bookmarkStart w:id="612" w:name="XBRL_CE_1d758003b8604bb3a1d785fc4cf888e9"/>
            <w:bookmarkEnd w:id="611"/>
            <w:bookmarkEnd w:id="612"/>
          </w:p>
        </w:tc>
        <w:tc>
          <w:tcPr>
            <w:tcW w:w="120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13" w:name="XBRL_CS_a1fb1506bdfe436db95168c8b8ad7af4"/>
            <w:bookmarkEnd w:id="613"/>
            <w:bookmarkStart w:id="614" w:name="a1fb1506bdfe436db95168c8b8ad7af4"/>
            <w:r>
              <w:rPr>
                <w:rFonts w:ascii="Arial" w:eastAsia="Arial" w:hAnsi="Arial" w:cs="Arial"/>
                <w:b w:val="0"/>
                <w:i w:val="0"/>
                <w:strike w:val="0"/>
                <w:color w:val="000000"/>
                <w:sz w:val="13"/>
                <w:u w:val="none"/>
                <w:vertAlign w:val="baseline"/>
              </w:rPr>
              <w:t>-130</w:t>
            </w:r>
            <w:bookmarkStart w:id="615" w:name="XBRL_CE_a1fb1506bdfe436db95168c8b8ad7af4"/>
            <w:bookmarkEnd w:id="614"/>
            <w:bookmarkEnd w:id="615"/>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Liiketoiminnan rahavirta ennen rahoituseriä ja veroja</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16" w:name="XBRL_CS_4fd779422a1b4c51b46e2ae9426f2ee0"/>
            <w:bookmarkEnd w:id="616"/>
            <w:bookmarkStart w:id="617" w:name="4fd779422a1b4c51b46e2ae9426f2ee0"/>
            <w:r>
              <w:rPr>
                <w:rFonts w:ascii="Arial" w:eastAsia="Arial" w:hAnsi="Arial" w:cs="Arial"/>
                <w:b/>
                <w:i w:val="0"/>
                <w:strike w:val="0"/>
                <w:color w:val="000000"/>
                <w:sz w:val="13"/>
                <w:u w:val="none"/>
                <w:vertAlign w:val="baseline"/>
              </w:rPr>
              <w:t>832</w:t>
            </w:r>
            <w:bookmarkStart w:id="618" w:name="XBRL_CE_4fd779422a1b4c51b46e2ae9426f2ee0"/>
            <w:bookmarkEnd w:id="617"/>
            <w:bookmarkEnd w:id="618"/>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19" w:name="XBRL_CS_d09b6b301c194fcaa7235b25eeb1172c"/>
            <w:bookmarkEnd w:id="619"/>
            <w:bookmarkStart w:id="620" w:name="d09b6b301c194fcaa7235b25eeb1172c"/>
            <w:r>
              <w:rPr>
                <w:rFonts w:ascii="Arial" w:eastAsia="Arial" w:hAnsi="Arial" w:cs="Arial"/>
                <w:b w:val="0"/>
                <w:i w:val="0"/>
                <w:strike w:val="0"/>
                <w:color w:val="000000"/>
                <w:sz w:val="13"/>
                <w:u w:val="none"/>
                <w:vertAlign w:val="baseline"/>
              </w:rPr>
              <w:t>410</w:t>
            </w:r>
            <w:bookmarkStart w:id="621" w:name="XBRL_CE_d09b6b301c194fcaa7235b25eeb1172c"/>
            <w:bookmarkEnd w:id="620"/>
            <w:bookmarkEnd w:id="621"/>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Rahoituserät ja verot:</w:t>
            </w:r>
          </w:p>
        </w:tc>
        <w:tc>
          <w:tcPr>
            <w:tcW w:w="120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Korkotuotot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22" w:name="XBRL_CS_f77b8dc72c1747639e838fcdb1f3a545"/>
            <w:bookmarkEnd w:id="622"/>
            <w:bookmarkStart w:id="623" w:name="f77b8dc72c1747639e838fcdb1f3a545"/>
            <w:r>
              <w:rPr>
                <w:rFonts w:ascii="Arial" w:eastAsia="Arial" w:hAnsi="Arial" w:cs="Arial"/>
                <w:b/>
                <w:i w:val="0"/>
                <w:strike w:val="0"/>
                <w:color w:val="000000"/>
                <w:sz w:val="13"/>
                <w:u w:val="none"/>
                <w:vertAlign w:val="baseline"/>
              </w:rPr>
              <w:t>4</w:t>
            </w:r>
            <w:bookmarkStart w:id="624" w:name="XBRL_CE_f77b8dc72c1747639e838fcdb1f3a545"/>
            <w:bookmarkEnd w:id="623"/>
            <w:bookmarkEnd w:id="624"/>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25" w:name="XBRL_CS_8d897a3289c14c218eee2a8756e6197b"/>
            <w:bookmarkEnd w:id="625"/>
            <w:bookmarkStart w:id="626" w:name="8d897a3289c14c218eee2a8756e6197b"/>
            <w:r>
              <w:rPr>
                <w:rFonts w:ascii="Arial" w:eastAsia="Arial" w:hAnsi="Arial" w:cs="Arial"/>
                <w:b w:val="0"/>
                <w:i w:val="0"/>
                <w:strike w:val="0"/>
                <w:color w:val="000000"/>
                <w:sz w:val="13"/>
                <w:u w:val="none"/>
                <w:vertAlign w:val="baseline"/>
              </w:rPr>
              <w:t>4</w:t>
            </w:r>
            <w:bookmarkStart w:id="627" w:name="XBRL_CE_8d897a3289c14c218eee2a8756e6197b"/>
            <w:bookmarkEnd w:id="626"/>
            <w:bookmarkEnd w:id="627"/>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Korkokulut</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28" w:name="XBRL_CS_53d6336ecb234c25bacc83c1406ab503"/>
            <w:bookmarkEnd w:id="628"/>
            <w:bookmarkStart w:id="629" w:name="53d6336ecb234c25bacc83c1406ab503"/>
            <w:r>
              <w:rPr>
                <w:rFonts w:ascii="Arial" w:eastAsia="Arial" w:hAnsi="Arial" w:cs="Arial"/>
                <w:b/>
                <w:i w:val="0"/>
                <w:strike w:val="0"/>
                <w:color w:val="000000"/>
                <w:sz w:val="13"/>
                <w:u w:val="none"/>
                <w:vertAlign w:val="baseline"/>
              </w:rPr>
              <w:t>-14</w:t>
            </w:r>
            <w:bookmarkStart w:id="630" w:name="XBRL_CE_53d6336ecb234c25bacc83c1406ab503"/>
            <w:bookmarkEnd w:id="629"/>
            <w:bookmarkEnd w:id="630"/>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31" w:name="XBRL_CS_bcac003d07de4783aac3908bb12d3984"/>
            <w:bookmarkEnd w:id="631"/>
            <w:bookmarkStart w:id="632" w:name="bcac003d07de4783aac3908bb12d3984"/>
            <w:r>
              <w:rPr>
                <w:rFonts w:ascii="Arial" w:eastAsia="Arial" w:hAnsi="Arial" w:cs="Arial"/>
                <w:b w:val="0"/>
                <w:i w:val="0"/>
                <w:strike w:val="0"/>
                <w:color w:val="000000"/>
                <w:sz w:val="13"/>
                <w:u w:val="none"/>
                <w:vertAlign w:val="baseline"/>
              </w:rPr>
              <w:t>-13</w:t>
            </w:r>
            <w:bookmarkStart w:id="633" w:name="XBRL_CE_bcac003d07de4783aac3908bb12d3984"/>
            <w:bookmarkEnd w:id="632"/>
            <w:bookmarkEnd w:id="633"/>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rahoitustuotot ja -kulut</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34" w:name="XBRL_CS_c94130f44174484dbb15e79951b99bf9"/>
            <w:bookmarkEnd w:id="634"/>
            <w:bookmarkStart w:id="635" w:name="c94130f44174484dbb15e79951b99bf9"/>
            <w:r>
              <w:rPr>
                <w:rFonts w:ascii="Arial" w:eastAsia="Arial" w:hAnsi="Arial" w:cs="Arial"/>
                <w:b/>
                <w:i w:val="0"/>
                <w:strike w:val="0"/>
                <w:color w:val="000000"/>
                <w:sz w:val="13"/>
                <w:u w:val="none"/>
                <w:vertAlign w:val="baseline"/>
              </w:rPr>
              <w:t>-19</w:t>
            </w:r>
            <w:bookmarkStart w:id="636" w:name="XBRL_CE_c94130f44174484dbb15e79951b99bf9"/>
            <w:bookmarkEnd w:id="635"/>
            <w:bookmarkEnd w:id="636"/>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37" w:name="XBRL_CS_95fc953887c743c0a29830166186e383"/>
            <w:bookmarkEnd w:id="637"/>
            <w:bookmarkStart w:id="638" w:name="95fc953887c743c0a29830166186e383"/>
            <w:r>
              <w:rPr>
                <w:rFonts w:ascii="Arial" w:eastAsia="Arial" w:hAnsi="Arial" w:cs="Arial"/>
                <w:b w:val="0"/>
                <w:i w:val="0"/>
                <w:strike w:val="0"/>
                <w:color w:val="000000"/>
                <w:sz w:val="13"/>
                <w:u w:val="none"/>
                <w:vertAlign w:val="baseline"/>
              </w:rPr>
              <w:t>-27</w:t>
            </w:r>
            <w:bookmarkStart w:id="639" w:name="XBRL_CE_95fc953887c743c0a29830166186e383"/>
            <w:bookmarkEnd w:id="638"/>
            <w:bookmarkEnd w:id="639"/>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Maksetut verot</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40" w:name="XBRL_CS_010fab4e5e3946e581d0de4722f9bb0e"/>
            <w:bookmarkEnd w:id="640"/>
            <w:bookmarkStart w:id="641" w:name="010fab4e5e3946e581d0de4722f9bb0e"/>
            <w:r>
              <w:rPr>
                <w:rFonts w:ascii="Arial" w:eastAsia="Arial" w:hAnsi="Arial" w:cs="Arial"/>
                <w:b/>
                <w:i w:val="0"/>
                <w:strike w:val="0"/>
                <w:color w:val="000000"/>
                <w:sz w:val="13"/>
                <w:u w:val="none"/>
                <w:vertAlign w:val="baseline"/>
              </w:rPr>
              <w:t>-122</w:t>
            </w:r>
            <w:bookmarkStart w:id="642" w:name="XBRL_CE_010fab4e5e3946e581d0de4722f9bb0e"/>
            <w:bookmarkEnd w:id="641"/>
            <w:bookmarkEnd w:id="642"/>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43" w:name="XBRL_CS_c5d127ee97b7456c9c34ca54e47a7f84"/>
            <w:bookmarkEnd w:id="643"/>
            <w:bookmarkStart w:id="644" w:name="c5d127ee97b7456c9c34ca54e47a7f84"/>
            <w:r>
              <w:rPr>
                <w:rFonts w:ascii="Arial" w:eastAsia="Arial" w:hAnsi="Arial" w:cs="Arial"/>
                <w:b w:val="0"/>
                <w:i w:val="0"/>
                <w:strike w:val="0"/>
                <w:color w:val="000000"/>
                <w:sz w:val="13"/>
                <w:u w:val="none"/>
                <w:vertAlign w:val="baseline"/>
              </w:rPr>
              <w:t>-141</w:t>
            </w:r>
            <w:bookmarkStart w:id="645" w:name="XBRL_CE_c5d127ee97b7456c9c34ca54e47a7f84"/>
            <w:bookmarkEnd w:id="644"/>
            <w:bookmarkEnd w:id="645"/>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Rahoituserät ja verot</w:t>
            </w:r>
          </w:p>
        </w:tc>
        <w:tc>
          <w:tcPr>
            <w:tcW w:w="1200"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46" w:name="XBRL_CS_7827834fb4a54cb1beacbcee0619805a"/>
            <w:bookmarkEnd w:id="646"/>
            <w:bookmarkStart w:id="647" w:name="7827834fb4a54cb1beacbcee0619805a"/>
            <w:r>
              <w:rPr>
                <w:rFonts w:ascii="Arial" w:eastAsia="Arial" w:hAnsi="Arial" w:cs="Arial"/>
                <w:b/>
                <w:i w:val="0"/>
                <w:strike w:val="0"/>
                <w:color w:val="000000"/>
                <w:sz w:val="13"/>
                <w:u w:val="none"/>
                <w:vertAlign w:val="baseline"/>
              </w:rPr>
              <w:t>-150</w:t>
            </w:r>
            <w:bookmarkStart w:id="648" w:name="XBRL_CE_7827834fb4a54cb1beacbcee0619805a"/>
            <w:bookmarkEnd w:id="647"/>
            <w:bookmarkEnd w:id="648"/>
          </w:p>
        </w:tc>
        <w:tc>
          <w:tcPr>
            <w:tcW w:w="120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49" w:name="XBRL_CS_fdfb6481931a48d1ba3212e3785d2b41"/>
            <w:bookmarkEnd w:id="649"/>
            <w:bookmarkStart w:id="650" w:name="fdfb6481931a48d1ba3212e3785d2b41"/>
            <w:r>
              <w:rPr>
                <w:rFonts w:ascii="Arial" w:eastAsia="Arial" w:hAnsi="Arial" w:cs="Arial"/>
                <w:b w:val="0"/>
                <w:i w:val="0"/>
                <w:strike w:val="0"/>
                <w:color w:val="000000"/>
                <w:sz w:val="13"/>
                <w:u w:val="none"/>
                <w:vertAlign w:val="baseline"/>
              </w:rPr>
              <w:t>-178</w:t>
            </w:r>
            <w:bookmarkStart w:id="651" w:name="XBRL_CE_fdfb6481931a48d1ba3212e3785d2b41"/>
            <w:bookmarkEnd w:id="650"/>
            <w:bookmarkEnd w:id="651"/>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Liiketoiminnan rahavirta</w:t>
            </w:r>
          </w:p>
        </w:tc>
        <w:tc>
          <w:tcPr>
            <w:tcW w:w="120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52" w:name="XBRL_CS_21b7145edf524412809efb42034aab72"/>
            <w:bookmarkEnd w:id="652"/>
            <w:bookmarkStart w:id="653" w:name="21b7145edf524412809efb42034aab72"/>
            <w:r>
              <w:rPr>
                <w:rFonts w:ascii="Arial" w:eastAsia="Arial" w:hAnsi="Arial" w:cs="Arial"/>
                <w:b/>
                <w:i w:val="0"/>
                <w:strike w:val="0"/>
                <w:color w:val="000000"/>
                <w:sz w:val="13"/>
                <w:u w:val="none"/>
                <w:vertAlign w:val="baseline"/>
              </w:rPr>
              <w:t>681</w:t>
            </w:r>
            <w:bookmarkStart w:id="654" w:name="XBRL_CE_21b7145edf524412809efb42034aab72"/>
            <w:bookmarkEnd w:id="653"/>
            <w:bookmarkEnd w:id="654"/>
          </w:p>
        </w:tc>
        <w:tc>
          <w:tcPr>
            <w:tcW w:w="120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55" w:name="XBRL_CS_7f2028d2ed3f4dd193b5caedbaf1e59d"/>
            <w:bookmarkEnd w:id="655"/>
            <w:bookmarkStart w:id="656" w:name="7f2028d2ed3f4dd193b5caedbaf1e59d"/>
            <w:r>
              <w:rPr>
                <w:rFonts w:ascii="Arial" w:eastAsia="Arial" w:hAnsi="Arial" w:cs="Arial"/>
                <w:b w:val="0"/>
                <w:i w:val="0"/>
                <w:strike w:val="0"/>
                <w:color w:val="000000"/>
                <w:sz w:val="13"/>
                <w:u w:val="none"/>
                <w:vertAlign w:val="baseline"/>
              </w:rPr>
              <w:t>232</w:t>
            </w:r>
            <w:bookmarkStart w:id="657" w:name="XBRL_CE_7f2028d2ed3f4dd193b5caedbaf1e59d"/>
            <w:bookmarkEnd w:id="656"/>
            <w:bookmarkEnd w:id="657"/>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Investointien rahavirta:</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Yrityshankinnat</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58" w:name="XBRL_CS_e37eb51fc64e4d6da9c2bcca80e24736"/>
            <w:bookmarkEnd w:id="658"/>
            <w:bookmarkStart w:id="659" w:name="e37eb51fc64e4d6da9c2bcca80e24736"/>
            <w:r>
              <w:rPr>
                <w:rFonts w:ascii="Arial" w:eastAsia="Arial" w:hAnsi="Arial" w:cs="Arial"/>
                <w:b/>
                <w:i w:val="0"/>
                <w:strike w:val="0"/>
                <w:color w:val="000000"/>
                <w:sz w:val="13"/>
                <w:u w:val="none"/>
                <w:vertAlign w:val="baseline"/>
              </w:rPr>
              <w:t>-1</w:t>
            </w:r>
            <w:bookmarkStart w:id="660" w:name="XBRL_CE_e37eb51fc64e4d6da9c2bcca80e24736"/>
            <w:bookmarkEnd w:id="659"/>
            <w:bookmarkEnd w:id="660"/>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61" w:name="XBRL_CS_9d4b59ad3d2e453dab143e4c9c203348"/>
            <w:bookmarkEnd w:id="661"/>
            <w:bookmarkStart w:id="662" w:name="9d4b59ad3d2e453dab143e4c9c203348"/>
            <w:r>
              <w:rPr>
                <w:rFonts w:ascii="Arial" w:eastAsia="Arial" w:hAnsi="Arial" w:cs="Arial"/>
                <w:b w:val="0"/>
                <w:i w:val="0"/>
                <w:strike w:val="0"/>
                <w:color w:val="000000"/>
                <w:sz w:val="13"/>
                <w:u w:val="none"/>
                <w:vertAlign w:val="baseline"/>
              </w:rPr>
              <w:t>-4</w:t>
            </w:r>
            <w:bookmarkStart w:id="663" w:name="XBRL_CE_9d4b59ad3d2e453dab143e4c9c203348"/>
            <w:bookmarkEnd w:id="662"/>
            <w:bookmarkEnd w:id="663"/>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6.1.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sijoitukset</w:t>
            </w:r>
          </w:p>
        </w:tc>
        <w:tc>
          <w:tcPr>
            <w:tcW w:w="1200" w:type="dxa"/>
            <w:tcBorders>
              <w:top w:val="nil"/>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64" w:name="XBRL_CS_fc975c3216ef442397c6000bab65e8f1"/>
            <w:bookmarkEnd w:id="664"/>
            <w:bookmarkStart w:id="665" w:name="fc975c3216ef442397c6000bab65e8f1"/>
            <w:r>
              <w:rPr>
                <w:rFonts w:ascii="Arial" w:eastAsia="Arial" w:hAnsi="Arial" w:cs="Arial"/>
                <w:b/>
                <w:i w:val="0"/>
                <w:strike w:val="0"/>
                <w:color w:val="000000"/>
                <w:sz w:val="13"/>
                <w:u w:val="none"/>
                <w:vertAlign w:val="baseline"/>
              </w:rPr>
              <w:t>-1</w:t>
            </w:r>
            <w:bookmarkStart w:id="666" w:name="XBRL_CE_fc975c3216ef442397c6000bab65e8f1"/>
            <w:bookmarkEnd w:id="665"/>
            <w:bookmarkEnd w:id="666"/>
          </w:p>
        </w:tc>
        <w:tc>
          <w:tcPr>
            <w:tcW w:w="1200"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67" w:name="XBRL_CS_7a196b4751e7496a952db1ee226119ec"/>
            <w:bookmarkEnd w:id="667"/>
            <w:bookmarkStart w:id="668" w:name="7a196b4751e7496a952db1ee226119ec"/>
            <w:r>
              <w:rPr>
                <w:rFonts w:ascii="Arial" w:eastAsia="Arial" w:hAnsi="Arial" w:cs="Arial"/>
                <w:b w:val="0"/>
                <w:i w:val="0"/>
                <w:strike w:val="0"/>
                <w:color w:val="000000"/>
                <w:sz w:val="13"/>
                <w:u w:val="none"/>
                <w:vertAlign w:val="baseline"/>
              </w:rPr>
              <w:t>-2</w:t>
            </w:r>
            <w:bookmarkStart w:id="669" w:name="XBRL_CE_7a196b4751e7496a952db1ee226119ec"/>
            <w:bookmarkEnd w:id="668"/>
            <w:bookmarkEnd w:id="669"/>
          </w:p>
        </w:tc>
        <w:tc>
          <w:tcPr>
            <w:tcW w:w="108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Investoinnit aineellisiin ja aineettomiin hyödykkeisiin</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70" w:name="XBRL_CS_ee55be94d82245ba909779afac00c028"/>
            <w:bookmarkEnd w:id="670"/>
            <w:bookmarkStart w:id="671" w:name="ee55be94d82245ba909779afac00c028"/>
            <w:r>
              <w:rPr>
                <w:rFonts w:ascii="Arial" w:eastAsia="Arial" w:hAnsi="Arial" w:cs="Arial"/>
                <w:b/>
                <w:i w:val="0"/>
                <w:strike w:val="0"/>
                <w:color w:val="000000"/>
                <w:sz w:val="13"/>
                <w:u w:val="none"/>
                <w:vertAlign w:val="baseline"/>
              </w:rPr>
              <w:t>-115</w:t>
            </w:r>
            <w:bookmarkStart w:id="672" w:name="XBRL_CE_ee55be94d82245ba909779afac00c028"/>
            <w:bookmarkEnd w:id="671"/>
            <w:bookmarkEnd w:id="672"/>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73" w:name="XBRL_CS_7c0e49a8150b4e429cedbc2f55430c1e"/>
            <w:bookmarkEnd w:id="673"/>
            <w:bookmarkStart w:id="674" w:name="7c0e49a8150b4e429cedbc2f55430c1e"/>
            <w:r>
              <w:rPr>
                <w:rFonts w:ascii="Arial" w:eastAsia="Arial" w:hAnsi="Arial" w:cs="Arial"/>
                <w:b w:val="0"/>
                <w:i w:val="0"/>
                <w:strike w:val="0"/>
                <w:color w:val="000000"/>
                <w:sz w:val="13"/>
                <w:u w:val="none"/>
                <w:vertAlign w:val="baseline"/>
              </w:rPr>
              <w:t>-116</w:t>
            </w:r>
            <w:bookmarkStart w:id="675" w:name="XBRL_CE_7c0e49a8150b4e429cedbc2f55430c1e"/>
            <w:bookmarkEnd w:id="674"/>
            <w:bookmarkEnd w:id="675"/>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3.2., 3.3.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Aineellisten ja aineettomien hyödykkeiden myynnit</w:t>
            </w:r>
          </w:p>
        </w:tc>
        <w:tc>
          <w:tcPr>
            <w:tcW w:w="1200" w:type="dxa"/>
            <w:tcBorders>
              <w:top w:val="nil"/>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76" w:name="XBRL_CS_b6bf413db6164d0894b701ff5fc50ef8"/>
            <w:bookmarkEnd w:id="676"/>
            <w:bookmarkStart w:id="677" w:name="b6bf413db6164d0894b701ff5fc50ef8"/>
            <w:r>
              <w:rPr>
                <w:rFonts w:ascii="Arial" w:eastAsia="Arial" w:hAnsi="Arial" w:cs="Arial"/>
                <w:b/>
                <w:i w:val="0"/>
                <w:strike w:val="0"/>
                <w:color w:val="000000"/>
                <w:sz w:val="13"/>
                <w:u w:val="none"/>
                <w:vertAlign w:val="baseline"/>
              </w:rPr>
              <w:t>13</w:t>
            </w:r>
            <w:bookmarkStart w:id="678" w:name="XBRL_CE_b6bf413db6164d0894b701ff5fc50ef8"/>
            <w:bookmarkEnd w:id="677"/>
            <w:bookmarkEnd w:id="678"/>
          </w:p>
        </w:tc>
        <w:tc>
          <w:tcPr>
            <w:tcW w:w="1200"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79" w:name="XBRL_CS_df08af39cf984ef3a7f9e148b3d34b71"/>
            <w:bookmarkEnd w:id="679"/>
            <w:bookmarkStart w:id="680" w:name="df08af39cf984ef3a7f9e148b3d34b71"/>
            <w:r>
              <w:rPr>
                <w:rFonts w:ascii="Arial" w:eastAsia="Arial" w:hAnsi="Arial" w:cs="Arial"/>
                <w:b w:val="0"/>
                <w:i w:val="0"/>
                <w:strike w:val="0"/>
                <w:color w:val="000000"/>
                <w:sz w:val="13"/>
                <w:u w:val="none"/>
                <w:vertAlign w:val="baseline"/>
              </w:rPr>
              <w:t>25</w:t>
            </w:r>
            <w:bookmarkStart w:id="681" w:name="XBRL_CE_df08af39cf984ef3a7f9e148b3d34b71"/>
            <w:bookmarkEnd w:id="680"/>
            <w:bookmarkEnd w:id="681"/>
          </w:p>
        </w:tc>
        <w:tc>
          <w:tcPr>
            <w:tcW w:w="108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3.2., 3.3.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Tytäryhtiöosakkeiden myynnit</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82" w:name="XBRL_CS_358877dee2be48518dd454d7008df8c9"/>
            <w:bookmarkEnd w:id="682"/>
            <w:bookmarkStart w:id="683" w:name="358877dee2be48518dd454d7008df8c9"/>
            <w:r>
              <w:rPr>
                <w:rFonts w:ascii="Arial" w:eastAsia="Arial" w:hAnsi="Arial" w:cs="Arial"/>
                <w:b/>
                <w:i w:val="0"/>
                <w:strike w:val="0"/>
                <w:color w:val="000000"/>
                <w:sz w:val="13"/>
                <w:u w:val="none"/>
                <w:vertAlign w:val="baseline"/>
              </w:rPr>
              <w:t>22</w:t>
            </w:r>
            <w:bookmarkStart w:id="684" w:name="XBRL_CE_358877dee2be48518dd454d7008df8c9"/>
            <w:bookmarkEnd w:id="683"/>
            <w:bookmarkEnd w:id="684"/>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85" w:name="XBRL_CS_a216527084d94393ae80a3eb6b331113"/>
            <w:bookmarkEnd w:id="685"/>
            <w:bookmarkStart w:id="686" w:name="a216527084d94393ae80a3eb6b331113"/>
            <w:r>
              <w:rPr>
                <w:rFonts w:ascii="Arial" w:eastAsia="Arial" w:hAnsi="Arial" w:cs="Arial"/>
                <w:b w:val="0"/>
                <w:i w:val="0"/>
                <w:strike w:val="0"/>
                <w:color w:val="000000"/>
                <w:sz w:val="13"/>
                <w:u w:val="none"/>
                <w:vertAlign w:val="baseline"/>
              </w:rPr>
              <w:t>1</w:t>
            </w:r>
            <w:bookmarkStart w:id="687" w:name="XBRL_CE_a216527084d94393ae80a3eb6b331113"/>
            <w:bookmarkEnd w:id="686"/>
            <w:bookmarkEnd w:id="687"/>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6.2.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Osakkuusyhtiö- ja yhteisyritysosakkeiden myynnit</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88" w:name="XBRL_CS_3d65e25634bc49789ad98cefd1a51eaf"/>
            <w:bookmarkEnd w:id="688"/>
            <w:bookmarkStart w:id="689" w:name="3d65e25634bc49789ad98cefd1a51eaf"/>
            <w:r>
              <w:rPr>
                <w:rFonts w:ascii="Arial" w:eastAsia="Arial" w:hAnsi="Arial" w:cs="Arial"/>
                <w:b/>
                <w:i w:val="0"/>
                <w:strike w:val="0"/>
                <w:color w:val="000000"/>
                <w:sz w:val="13"/>
                <w:u w:val="none"/>
                <w:vertAlign w:val="baseline"/>
              </w:rPr>
              <w:t>27</w:t>
            </w:r>
            <w:bookmarkStart w:id="690" w:name="XBRL_CE_3d65e25634bc49789ad98cefd1a51eaf"/>
            <w:bookmarkEnd w:id="689"/>
            <w:bookmarkEnd w:id="690"/>
          </w:p>
        </w:tc>
        <w:tc>
          <w:tcPr>
            <w:tcW w:w="120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6.4.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Investointien rahavirta</w:t>
            </w:r>
          </w:p>
        </w:tc>
        <w:tc>
          <w:tcPr>
            <w:tcW w:w="120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91" w:name="XBRL_CS_54d1f5a7131d4b9b9becf3b785fd9b90"/>
            <w:bookmarkEnd w:id="691"/>
            <w:bookmarkStart w:id="692" w:name="54d1f5a7131d4b9b9becf3b785fd9b90"/>
            <w:r>
              <w:rPr>
                <w:rFonts w:ascii="Arial" w:eastAsia="Arial" w:hAnsi="Arial" w:cs="Arial"/>
                <w:b/>
                <w:i w:val="0"/>
                <w:strike w:val="0"/>
                <w:color w:val="000000"/>
                <w:sz w:val="13"/>
                <w:u w:val="none"/>
                <w:vertAlign w:val="baseline"/>
              </w:rPr>
              <w:t>-55</w:t>
            </w:r>
            <w:bookmarkStart w:id="693" w:name="XBRL_CE_54d1f5a7131d4b9b9becf3b785fd9b90"/>
            <w:bookmarkEnd w:id="692"/>
            <w:bookmarkEnd w:id="693"/>
          </w:p>
        </w:tc>
        <w:tc>
          <w:tcPr>
            <w:tcW w:w="120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694" w:name="XBRL_CS_e0b1a5e5b1ab4a5d922cc65e34e2e2e0"/>
            <w:bookmarkEnd w:id="694"/>
            <w:bookmarkStart w:id="695" w:name="e0b1a5e5b1ab4a5d922cc65e34e2e2e0"/>
            <w:r>
              <w:rPr>
                <w:rFonts w:ascii="Arial" w:eastAsia="Arial" w:hAnsi="Arial" w:cs="Arial"/>
                <w:b w:val="0"/>
                <w:i w:val="0"/>
                <w:strike w:val="0"/>
                <w:color w:val="000000"/>
                <w:sz w:val="13"/>
                <w:u w:val="none"/>
                <w:vertAlign w:val="baseline"/>
              </w:rPr>
              <w:t>-95</w:t>
            </w:r>
            <w:bookmarkStart w:id="696" w:name="XBRL_CE_e0b1a5e5b1ab4a5d922cc65e34e2e2e0"/>
            <w:bookmarkEnd w:id="695"/>
            <w:bookmarkEnd w:id="696"/>
          </w:p>
        </w:tc>
        <w:tc>
          <w:tcPr>
            <w:tcW w:w="108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Rahavirta investointien jälkeen</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697" w:name="XBRL_CS_8efe89add87e4aff9ed4cac6caf476f3"/>
            <w:bookmarkEnd w:id="697"/>
            <w:bookmarkStart w:id="698" w:name="8efe89add87e4aff9ed4cac6caf476f3"/>
            <w:r>
              <w:rPr>
                <w:rFonts w:ascii="Arial" w:eastAsia="Arial" w:hAnsi="Arial" w:cs="Arial"/>
                <w:b/>
                <w:i w:val="0"/>
                <w:strike w:val="0"/>
                <w:color w:val="000000"/>
                <w:sz w:val="13"/>
                <w:u w:val="none"/>
                <w:vertAlign w:val="baseline"/>
              </w:rPr>
              <w:t>627</w:t>
            </w:r>
            <w:bookmarkStart w:id="699" w:name="XBRL_CE_8efe89add87e4aff9ed4cac6caf476f3"/>
            <w:bookmarkEnd w:id="698"/>
            <w:bookmarkEnd w:id="699"/>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00" w:name="XBRL_CS_d47ef0fd764f458e89545a29b0f4e506"/>
            <w:bookmarkEnd w:id="700"/>
            <w:bookmarkStart w:id="701" w:name="d47ef0fd764f458e89545a29b0f4e506"/>
            <w:bookmarkStart w:id="702" w:name="XBRL_CS_5835d63afddb4ba69896834dd2bda9ed"/>
            <w:bookmarkEnd w:id="702"/>
            <w:bookmarkStart w:id="703" w:name="5835d63afddb4ba69896834dd2bda9ed"/>
            <w:r>
              <w:rPr>
                <w:rFonts w:ascii="Arial" w:eastAsia="Arial" w:hAnsi="Arial" w:cs="Arial"/>
                <w:b w:val="0"/>
                <w:i w:val="0"/>
                <w:strike w:val="0"/>
                <w:color w:val="000000"/>
                <w:sz w:val="13"/>
                <w:u w:val="none"/>
                <w:vertAlign w:val="baseline"/>
              </w:rPr>
              <w:t>137</w:t>
            </w:r>
            <w:bookmarkStart w:id="704" w:name="XBRL_CE_5835d63afddb4ba69896834dd2bda9ed"/>
            <w:bookmarkEnd w:id="703"/>
            <w:bookmarkEnd w:id="704"/>
            <w:bookmarkStart w:id="705" w:name="XBRL_CE_d47ef0fd764f458e89545a29b0f4e506"/>
            <w:bookmarkEnd w:id="701"/>
            <w:bookmarkEnd w:id="705"/>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Rahoituksen rahavirta:</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Pitkäaikaisten lainojen nostot</w:t>
            </w:r>
          </w:p>
        </w:tc>
        <w:tc>
          <w:tcPr>
            <w:tcW w:w="1200" w:type="dxa"/>
            <w:tcBorders>
              <w:top w:val="nil"/>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06" w:name="XBRL_CS_20b7511e09794e2cac3e6f398d70c9af"/>
            <w:bookmarkEnd w:id="706"/>
            <w:bookmarkStart w:id="707" w:name="20b7511e09794e2cac3e6f398d70c9af"/>
            <w:r>
              <w:rPr>
                <w:rFonts w:ascii="Arial" w:eastAsia="Arial" w:hAnsi="Arial" w:cs="Arial"/>
                <w:b/>
                <w:i w:val="0"/>
                <w:strike w:val="0"/>
                <w:color w:val="000000"/>
                <w:sz w:val="13"/>
                <w:u w:val="none"/>
                <w:vertAlign w:val="baseline"/>
              </w:rPr>
              <w:t>317</w:t>
            </w:r>
            <w:bookmarkStart w:id="708" w:name="XBRL_CE_20b7511e09794e2cac3e6f398d70c9af"/>
            <w:bookmarkEnd w:id="707"/>
            <w:bookmarkEnd w:id="708"/>
          </w:p>
        </w:tc>
        <w:tc>
          <w:tcPr>
            <w:tcW w:w="1200"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09" w:name="XBRL_CS_248ff79d3d0246b893cd19a4a7e44ae7"/>
            <w:bookmarkEnd w:id="709"/>
            <w:bookmarkStart w:id="710" w:name="248ff79d3d0246b893cd19a4a7e44ae7"/>
            <w:r>
              <w:rPr>
                <w:rFonts w:ascii="Arial" w:eastAsia="Arial" w:hAnsi="Arial" w:cs="Arial"/>
                <w:b w:val="0"/>
                <w:i w:val="0"/>
                <w:strike w:val="0"/>
                <w:color w:val="000000"/>
                <w:sz w:val="13"/>
                <w:u w:val="none"/>
                <w:vertAlign w:val="baseline"/>
              </w:rPr>
              <w:t>150</w:t>
            </w:r>
            <w:bookmarkStart w:id="711" w:name="XBRL_CE_248ff79d3d0246b893cd19a4a7e44ae7"/>
            <w:bookmarkEnd w:id="710"/>
            <w:bookmarkEnd w:id="711"/>
          </w:p>
        </w:tc>
        <w:tc>
          <w:tcPr>
            <w:tcW w:w="1080"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Pitkäaikaisten lainojen takaisinmaksut ja muut muutokset</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12" w:name="XBRL_CS_c52fe0d0e62e4bada36282b0ff7e0c0e"/>
            <w:bookmarkEnd w:id="712"/>
            <w:bookmarkStart w:id="713" w:name="c52fe0d0e62e4bada36282b0ff7e0c0e"/>
            <w:r>
              <w:rPr>
                <w:rFonts w:ascii="Arial" w:eastAsia="Arial" w:hAnsi="Arial" w:cs="Arial"/>
                <w:b/>
                <w:i w:val="0"/>
                <w:strike w:val="0"/>
                <w:color w:val="000000"/>
                <w:sz w:val="13"/>
                <w:u w:val="none"/>
                <w:vertAlign w:val="baseline"/>
              </w:rPr>
              <w:t>-76</w:t>
            </w:r>
            <w:bookmarkStart w:id="714" w:name="XBRL_CE_c52fe0d0e62e4bada36282b0ff7e0c0e"/>
            <w:bookmarkEnd w:id="713"/>
            <w:bookmarkEnd w:id="714"/>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15" w:name="XBRL_CS_0689f267cc5d4775bb94821e1820563d"/>
            <w:bookmarkEnd w:id="715"/>
            <w:bookmarkStart w:id="716" w:name="0689f267cc5d4775bb94821e1820563d"/>
            <w:r>
              <w:rPr>
                <w:rFonts w:ascii="Arial" w:eastAsia="Arial" w:hAnsi="Arial" w:cs="Arial"/>
                <w:b w:val="0"/>
                <w:i w:val="0"/>
                <w:strike w:val="0"/>
                <w:color w:val="000000"/>
                <w:sz w:val="13"/>
                <w:u w:val="none"/>
                <w:vertAlign w:val="baseline"/>
              </w:rPr>
              <w:t>-105</w:t>
            </w:r>
            <w:bookmarkStart w:id="717" w:name="XBRL_CE_0689f267cc5d4775bb94821e1820563d"/>
            <w:bookmarkEnd w:id="716"/>
            <w:bookmarkEnd w:id="717"/>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E56D0A"/>
                <w:sz w:val="13"/>
                <w:u w:val="none"/>
                <w:vertAlign w:val="baseline"/>
              </w:rPr>
            </w:pPr>
            <w:r>
              <w:rPr>
                <w:rFonts w:ascii="Arial" w:eastAsia="Arial" w:hAnsi="Arial" w:cs="Arial"/>
                <w:b w:val="0"/>
                <w:i w:val="0"/>
                <w:strike w:val="0"/>
                <w:color w:val="E56D0A"/>
                <w:sz w:val="13"/>
                <w:u w:val="none"/>
                <w:vertAlign w:val="baseline"/>
              </w:rPr>
              <w:t>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Lainasaamisten lisäys (-) / vähennys (+)</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18" w:name="XBRL_CS_546b38c1f3a44fc8af13581cfc3d2e83"/>
            <w:bookmarkEnd w:id="718"/>
            <w:bookmarkStart w:id="719" w:name="546b38c1f3a44fc8af13581cfc3d2e83"/>
            <w:r>
              <w:rPr>
                <w:rFonts w:ascii="Arial" w:eastAsia="Arial" w:hAnsi="Arial" w:cs="Arial"/>
                <w:b/>
                <w:i w:val="0"/>
                <w:strike w:val="0"/>
                <w:color w:val="000000"/>
                <w:sz w:val="13"/>
                <w:u w:val="none"/>
                <w:vertAlign w:val="baseline"/>
              </w:rPr>
              <w:t>1</w:t>
            </w:r>
            <w:bookmarkStart w:id="720" w:name="XBRL_CE_546b38c1f3a44fc8af13581cfc3d2e83"/>
            <w:bookmarkEnd w:id="719"/>
            <w:bookmarkEnd w:id="720"/>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21" w:name="XBRL_CS_4574cea57ca644e3bb559dd3d5bb7216"/>
            <w:bookmarkEnd w:id="721"/>
            <w:bookmarkStart w:id="722" w:name="4574cea57ca644e3bb559dd3d5bb7216"/>
            <w:r>
              <w:rPr>
                <w:rFonts w:ascii="Arial" w:eastAsia="Arial" w:hAnsi="Arial" w:cs="Arial"/>
                <w:b w:val="0"/>
                <w:i w:val="0"/>
                <w:strike w:val="0"/>
                <w:color w:val="000000"/>
                <w:sz w:val="13"/>
                <w:u w:val="none"/>
                <w:vertAlign w:val="baseline"/>
              </w:rPr>
              <w:t>2</w:t>
            </w:r>
            <w:bookmarkStart w:id="723" w:name="XBRL_CE_4574cea57ca644e3bb559dd3d5bb7216"/>
            <w:bookmarkEnd w:id="722"/>
            <w:bookmarkEnd w:id="723"/>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Lyhytaikaisten lainojen lisäys (+) / vähennys (-)</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24" w:name="XBRL_CS_dcfc4541c78442b28243da885b9f2908"/>
            <w:bookmarkEnd w:id="724"/>
            <w:bookmarkStart w:id="725" w:name="dcfc4541c78442b28243da885b9f2908"/>
            <w:r>
              <w:rPr>
                <w:rFonts w:ascii="Arial" w:eastAsia="Arial" w:hAnsi="Arial" w:cs="Arial"/>
                <w:b w:val="0"/>
                <w:i w:val="0"/>
                <w:strike w:val="0"/>
                <w:color w:val="000000"/>
                <w:sz w:val="13"/>
                <w:u w:val="none"/>
                <w:vertAlign w:val="baseline"/>
              </w:rPr>
              <w:t>-18</w:t>
            </w:r>
            <w:bookmarkStart w:id="726" w:name="XBRL_CE_dcfc4541c78442b28243da885b9f2908"/>
            <w:bookmarkEnd w:id="725"/>
            <w:bookmarkEnd w:id="726"/>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Maksetut osingot </w:t>
            </w:r>
          </w:p>
        </w:tc>
        <w:tc>
          <w:tcPr>
            <w:tcW w:w="120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27" w:name="XBRL_CS_446eadabad3f4d58973e9753f32b2475"/>
            <w:bookmarkEnd w:id="727"/>
            <w:bookmarkStart w:id="728" w:name="446eadabad3f4d58973e9753f32b2475"/>
            <w:r>
              <w:rPr>
                <w:rFonts w:ascii="Arial" w:eastAsia="Arial" w:hAnsi="Arial" w:cs="Arial"/>
                <w:b/>
                <w:i w:val="0"/>
                <w:strike w:val="0"/>
                <w:color w:val="000000"/>
                <w:sz w:val="13"/>
                <w:u w:val="none"/>
                <w:vertAlign w:val="baseline"/>
              </w:rPr>
              <w:t>-286</w:t>
            </w:r>
            <w:bookmarkStart w:id="729" w:name="XBRL_CE_446eadabad3f4d58973e9753f32b2475"/>
            <w:bookmarkEnd w:id="728"/>
            <w:bookmarkEnd w:id="729"/>
          </w:p>
        </w:tc>
        <w:tc>
          <w:tcPr>
            <w:tcW w:w="120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30" w:name="XBRL_CS_8d98939760ea46df8be96fe444ebef63"/>
            <w:bookmarkEnd w:id="730"/>
            <w:bookmarkStart w:id="731" w:name="8d98939760ea46df8be96fe444ebef63"/>
            <w:r>
              <w:rPr>
                <w:rFonts w:ascii="Arial" w:eastAsia="Arial" w:hAnsi="Arial" w:cs="Arial"/>
                <w:b w:val="0"/>
                <w:i w:val="0"/>
                <w:strike w:val="0"/>
                <w:color w:val="000000"/>
                <w:sz w:val="13"/>
                <w:u w:val="none"/>
                <w:vertAlign w:val="baseline"/>
              </w:rPr>
              <w:t>-284</w:t>
            </w:r>
            <w:bookmarkStart w:id="732" w:name="XBRL_CE_8d98939760ea46df8be96fe444ebef63"/>
            <w:bookmarkEnd w:id="731"/>
            <w:bookmarkEnd w:id="732"/>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8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Rahoituksen rahavirta</w:t>
            </w:r>
          </w:p>
        </w:tc>
        <w:tc>
          <w:tcPr>
            <w:tcW w:w="120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33" w:name="XBRL_CS_b95c15b6553e4ae4acb26967e0cbef5f"/>
            <w:bookmarkEnd w:id="733"/>
            <w:bookmarkStart w:id="734" w:name="b95c15b6553e4ae4acb26967e0cbef5f"/>
            <w:r>
              <w:rPr>
                <w:rFonts w:ascii="Arial" w:eastAsia="Arial" w:hAnsi="Arial" w:cs="Arial"/>
                <w:b/>
                <w:i w:val="0"/>
                <w:strike w:val="0"/>
                <w:color w:val="000000"/>
                <w:sz w:val="13"/>
                <w:u w:val="none"/>
                <w:vertAlign w:val="baseline"/>
              </w:rPr>
              <w:t>-44</w:t>
            </w:r>
            <w:bookmarkStart w:id="735" w:name="XBRL_CE_b95c15b6553e4ae4acb26967e0cbef5f"/>
            <w:bookmarkEnd w:id="734"/>
            <w:bookmarkEnd w:id="735"/>
          </w:p>
        </w:tc>
        <w:tc>
          <w:tcPr>
            <w:tcW w:w="120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36" w:name="XBRL_CS_168a7342aa1e4069bd22371f40b881f2"/>
            <w:bookmarkEnd w:id="736"/>
            <w:bookmarkStart w:id="737" w:name="168a7342aa1e4069bd22371f40b881f2"/>
            <w:r>
              <w:rPr>
                <w:rFonts w:ascii="Arial" w:eastAsia="Arial" w:hAnsi="Arial" w:cs="Arial"/>
                <w:b w:val="0"/>
                <w:i w:val="0"/>
                <w:strike w:val="0"/>
                <w:color w:val="000000"/>
                <w:sz w:val="13"/>
                <w:u w:val="none"/>
                <w:vertAlign w:val="baseline"/>
              </w:rPr>
              <w:t>-256</w:t>
            </w:r>
            <w:bookmarkStart w:id="738" w:name="XBRL_CE_168a7342aa1e4069bd22371f40b881f2"/>
            <w:bookmarkEnd w:id="737"/>
            <w:bookmarkEnd w:id="738"/>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Rahavarojen muutos, lisäys (+) / vähennys (-)</w:t>
            </w:r>
          </w:p>
        </w:tc>
        <w:tc>
          <w:tcPr>
            <w:tcW w:w="120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39" w:name="XBRL_CS_5a0330a20a9941449713e5b55864de94"/>
            <w:bookmarkEnd w:id="739"/>
            <w:bookmarkStart w:id="740" w:name="5a0330a20a9941449713e5b55864de94"/>
            <w:r>
              <w:rPr>
                <w:rFonts w:ascii="Arial" w:eastAsia="Arial" w:hAnsi="Arial" w:cs="Arial"/>
                <w:b/>
                <w:i w:val="0"/>
                <w:strike w:val="0"/>
                <w:color w:val="000000"/>
                <w:sz w:val="13"/>
                <w:u w:val="none"/>
                <w:vertAlign w:val="baseline"/>
              </w:rPr>
              <w:t>582</w:t>
            </w:r>
            <w:bookmarkStart w:id="741" w:name="XBRL_CE_5a0330a20a9941449713e5b55864de94"/>
            <w:bookmarkEnd w:id="740"/>
            <w:bookmarkEnd w:id="741"/>
          </w:p>
        </w:tc>
        <w:tc>
          <w:tcPr>
            <w:tcW w:w="12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42" w:name="XBRL_CS_ec736a117c814874967b22fb8fa0c569"/>
            <w:bookmarkEnd w:id="742"/>
            <w:bookmarkStart w:id="743" w:name="ec736a117c814874967b22fb8fa0c569"/>
            <w:r>
              <w:rPr>
                <w:rFonts w:ascii="Arial" w:eastAsia="Arial" w:hAnsi="Arial" w:cs="Arial"/>
                <w:b w:val="0"/>
                <w:i w:val="0"/>
                <w:strike w:val="0"/>
                <w:color w:val="000000"/>
                <w:sz w:val="13"/>
                <w:u w:val="none"/>
                <w:vertAlign w:val="baseline"/>
              </w:rPr>
              <w:t>-119</w:t>
            </w:r>
            <w:bookmarkStart w:id="744" w:name="XBRL_CE_ec736a117c814874967b22fb8fa0c569"/>
            <w:bookmarkEnd w:id="743"/>
            <w:bookmarkEnd w:id="744"/>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 tilikauden alussa*</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45" w:name="XBRL_CS_9ad7158ec5ab4924a1dbc91b94d31c54"/>
            <w:bookmarkEnd w:id="745"/>
            <w:bookmarkStart w:id="746" w:name="9ad7158ec5ab4924a1dbc91b94d31c54"/>
            <w:r>
              <w:rPr>
                <w:rFonts w:ascii="Arial" w:eastAsia="Arial" w:hAnsi="Arial" w:cs="Arial"/>
                <w:b/>
                <w:i w:val="0"/>
                <w:strike w:val="0"/>
                <w:color w:val="000000"/>
                <w:sz w:val="13"/>
                <w:u w:val="none"/>
                <w:vertAlign w:val="baseline"/>
              </w:rPr>
              <w:t>369</w:t>
            </w:r>
            <w:bookmarkStart w:id="747" w:name="XBRL_CE_9ad7158ec5ab4924a1dbc91b94d31c54"/>
            <w:bookmarkEnd w:id="746"/>
            <w:bookmarkEnd w:id="747"/>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48" w:name="XBRL_CS_de156e945c2843009777542cfec74676"/>
            <w:bookmarkEnd w:id="748"/>
            <w:bookmarkStart w:id="749" w:name="de156e945c2843009777542cfec74676"/>
            <w:r>
              <w:rPr>
                <w:rFonts w:ascii="Arial" w:eastAsia="Arial" w:hAnsi="Arial" w:cs="Arial"/>
                <w:b w:val="0"/>
                <w:i w:val="0"/>
                <w:strike w:val="0"/>
                <w:color w:val="000000"/>
                <w:sz w:val="13"/>
                <w:u w:val="none"/>
                <w:vertAlign w:val="baseline"/>
              </w:rPr>
              <w:t>487</w:t>
            </w:r>
            <w:bookmarkStart w:id="750" w:name="XBRL_CE_de156e945c2843009777542cfec74676"/>
            <w:bookmarkEnd w:id="749"/>
            <w:bookmarkEnd w:id="750"/>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Valuuttakurssien muutosten vaikutus</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51" w:name="XBRL_CS_6fd739f14025463aa9331c8994ff16b6"/>
            <w:bookmarkEnd w:id="751"/>
            <w:bookmarkStart w:id="752" w:name="6fd739f14025463aa9331c8994ff16b6"/>
            <w:r>
              <w:rPr>
                <w:rFonts w:ascii="Arial" w:eastAsia="Arial" w:hAnsi="Arial" w:cs="Arial"/>
                <w:b/>
                <w:i w:val="0"/>
                <w:strike w:val="0"/>
                <w:color w:val="000000"/>
                <w:sz w:val="13"/>
                <w:u w:val="none"/>
                <w:vertAlign w:val="baseline"/>
              </w:rPr>
              <w:t>-19</w:t>
            </w:r>
            <w:bookmarkStart w:id="753" w:name="XBRL_CE_6fd739f14025463aa9331c8994ff16b6"/>
            <w:bookmarkEnd w:id="752"/>
            <w:bookmarkEnd w:id="753"/>
          </w:p>
        </w:tc>
        <w:tc>
          <w:tcPr>
            <w:tcW w:w="12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 tilikauden lopussa*</w:t>
            </w:r>
          </w:p>
        </w:tc>
        <w:tc>
          <w:tcPr>
            <w:tcW w:w="120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754" w:name="XBRL_CS_04a36703ef0840fd914df73501345398"/>
            <w:bookmarkEnd w:id="754"/>
            <w:bookmarkStart w:id="755" w:name="04a36703ef0840fd914df73501345398"/>
            <w:r>
              <w:rPr>
                <w:rFonts w:ascii="Arial" w:eastAsia="Arial" w:hAnsi="Arial" w:cs="Arial"/>
                <w:b/>
                <w:i w:val="0"/>
                <w:strike w:val="0"/>
                <w:color w:val="000000"/>
                <w:sz w:val="13"/>
                <w:u w:val="none"/>
                <w:vertAlign w:val="baseline"/>
              </w:rPr>
              <w:t>932</w:t>
            </w:r>
            <w:bookmarkStart w:id="756" w:name="XBRL_CE_04a36703ef0840fd914df73501345398"/>
            <w:bookmarkEnd w:id="755"/>
            <w:bookmarkEnd w:id="756"/>
          </w:p>
        </w:tc>
        <w:tc>
          <w:tcPr>
            <w:tcW w:w="12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57" w:name="XBRL_CS_57a4c5a1011e4ce1ad96a91e61bc9f79"/>
            <w:bookmarkEnd w:id="757"/>
            <w:bookmarkStart w:id="758" w:name="57a4c5a1011e4ce1ad96a91e61bc9f79"/>
            <w:r>
              <w:rPr>
                <w:rFonts w:ascii="Arial" w:eastAsia="Arial" w:hAnsi="Arial" w:cs="Arial"/>
                <w:b w:val="0"/>
                <w:i w:val="0"/>
                <w:strike w:val="0"/>
                <w:color w:val="000000"/>
                <w:sz w:val="13"/>
                <w:u w:val="none"/>
                <w:vertAlign w:val="baseline"/>
              </w:rPr>
              <w:t>369</w:t>
            </w:r>
            <w:bookmarkStart w:id="759" w:name="XBRL_CE_57a4c5a1011e4ce1ad96a91e61bc9f79"/>
            <w:bookmarkEnd w:id="758"/>
            <w:bookmarkEnd w:id="759"/>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E56D0A"/>
                <w:sz w:val="13"/>
                <w:u w:val="none"/>
                <w:vertAlign w:val="baseline"/>
              </w:rPr>
            </w:pPr>
          </w:p>
        </w:tc>
      </w:tr>
    </w:tbl>
    <w:p w:rsidR="00976719" w:rsidP="002642EE" w14:paraId="4D2D19D7" w14:textId="77777777">
      <w:pPr>
        <w:pStyle w:val="Bodytext2"/>
        <w:rPr>
          <w:lang w:val="fi-FI"/>
        </w:rPr>
      </w:pPr>
      <w:bookmarkStart w:id="760" w:name="RG_MARKER_4690"/>
      <w:bookmarkEnd w:id="760"/>
    </w:p>
    <w:p w:rsidR="00382358" w:rsidRPr="00382358" w:rsidP="002642EE" w14:paraId="26457CE1" w14:textId="181E7B80">
      <w:pPr>
        <w:pStyle w:val="Bodytext2"/>
        <w:rPr>
          <w:lang w:val="en-GB"/>
        </w:rPr>
      </w:pPr>
      <w:r w:rsidRPr="00382358">
        <w:rPr>
          <w:lang w:val="en-GB"/>
        </w:rPr>
        <w:t>*</w:t>
      </w:r>
      <w:r>
        <w:rPr>
          <w:lang w:val="en-GB"/>
        </w:rPr>
        <w:t xml:space="preserve"> </w:t>
      </w:r>
      <w:r w:rsidRPr="00382358">
        <w:rPr>
          <w:lang w:val="en-GB"/>
        </w:rPr>
        <w:t>Rahavarat 31.12.2020 ja 31.12.2019 sisältävät myytävänä oleviin omaisuuseriin liittyvät rahavarat.</w:t>
      </w:r>
    </w:p>
    <w:p w:rsidR="00382358" w:rsidRPr="00382358" w:rsidP="002642EE" w14:paraId="413B0D9C" w14:textId="77777777">
      <w:pPr>
        <w:pStyle w:val="Bodytext2"/>
        <w:rPr>
          <w:lang w:val="en-GB"/>
        </w:rPr>
      </w:pPr>
    </w:p>
    <w:p w:rsidR="00264F8A" w:rsidRPr="00264F8A" w:rsidP="002642EE" w14:textId="52D49A94">
      <w:pPr>
        <w:pStyle w:val="Bodytext2"/>
        <w:rPr>
          <w:sz w:val="2"/>
          <w:szCs w:val="2"/>
          <w:lang w:val="fi-FI"/>
        </w:rPr>
      </w:pPr>
      <w:r w:rsidRPr="00E04C42">
        <w:rPr>
          <w:lang w:val="fi-FI"/>
        </w:rPr>
        <w:t>Liitetiedot ovat osa tätä tilinpäätöstä.</w:t>
      </w:r>
      <w:r w:rsidRPr="00BE0A68">
        <w:rPr>
          <w:sz w:val="2"/>
          <w:szCs w:val="2"/>
          <w:lang w:val="fi-FI"/>
        </w:rPr>
        <w:br w:type="page"/>
      </w:r>
    </w:p>
    <w:p w:rsidR="002642EE" w:rsidRPr="00E04C42" w:rsidP="002642EE" w14:paraId="1321C265" w14:textId="77777777">
      <w:pPr>
        <w:pStyle w:val="Bodytext2"/>
        <w:rPr>
          <w:sz w:val="2"/>
          <w:szCs w:val="2"/>
          <w:lang w:val="fi-FI"/>
        </w:rPr>
        <w:sectPr w:rsidSect="00515210">
          <w:headerReference w:type="even" r:id="rId27"/>
          <w:headerReference w:type="default" r:id="rId28"/>
          <w:footerReference w:type="even" r:id="rId29"/>
          <w:footerReference w:type="default" r:id="rId30"/>
          <w:headerReference w:type="first" r:id="rId31"/>
          <w:footerReference w:type="first" r:id="rId32"/>
          <w:type w:val="continuous"/>
          <w:pgSz w:w="16838" w:h="11906" w:orient="landscape"/>
          <w:pgMar w:top="1814" w:right="737" w:bottom="1247" w:left="737" w:header="720" w:footer="720" w:gutter="0"/>
          <w:pgBorders w:zOrder="front" w:display="allPages" w:offsetFrom="text">
            <w:top w:val="nil"/>
            <w:left w:val="nil"/>
            <w:bottom w:val="nil"/>
            <w:right w:val="nil"/>
          </w:pgBorders>
          <w:cols w:num="2" w:space="624"/>
          <w:vAlign w:val="top"/>
          <w:titlePg w:val="0"/>
          <w:rtlGutter w:val="0"/>
          <w:docGrid w:linePitch="360"/>
        </w:sectPr>
      </w:pPr>
      <w:r>
        <w:t xml:space="preserve"> </w:t>
      </w:r>
    </w:p>
    <w:p w:rsidR="002642EE" w:rsidP="002642EE" w14:textId="6C9BB1D0">
      <w:pPr>
        <w:pStyle w:val="Heading10"/>
      </w:pPr>
      <w:bookmarkStart w:id="761" w:name="RG_MARKER_4688"/>
      <w:r>
        <w:t>LASKELMA OMAN PÄÄOMAN MUUTOKSISTA</w:t>
      </w:r>
      <w:bookmarkEnd w:id="761"/>
    </w:p>
    <w:p/>
    <w:tbl>
      <w:tblPr>
        <w:tblStyle w:val="CDMRange1"/>
        <w:tblW w:w="15300" w:type="dxa"/>
        <w:tblLayout w:type="fixed"/>
        <w:tblLook w:val="0600"/>
      </w:tblPr>
      <w:tblGrid>
        <w:gridCol w:w="5850"/>
        <w:gridCol w:w="1050"/>
        <w:gridCol w:w="1050"/>
        <w:gridCol w:w="1050"/>
        <w:gridCol w:w="1050"/>
        <w:gridCol w:w="1050"/>
        <w:gridCol w:w="1050"/>
        <w:gridCol w:w="1050"/>
        <w:gridCol w:w="1050"/>
        <w:gridCol w:w="1050"/>
      </w:tblGrid>
      <w:tr>
        <w:tblPrEx>
          <w:tblW w:w="15300" w:type="dxa"/>
          <w:tblLayout w:type="fixed"/>
          <w:tblLook w:val="0600"/>
        </w:tblPrEx>
        <w:trPr>
          <w:trHeight w:val="240"/>
        </w:trPr>
        <w:tc>
          <w:tcPr>
            <w:tcW w:w="585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350" w:type="dxa"/>
            <w:gridSpan w:val="7"/>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Emoyhtiön omistajille kuuluva oma pääoma</w:t>
            </w:r>
          </w:p>
        </w:tc>
        <w:tc>
          <w:tcPr>
            <w:tcW w:w="105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Määräys-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vallatto-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mien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omistajien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osuus</w:t>
            </w:r>
          </w:p>
        </w:tc>
        <w:tc>
          <w:tcPr>
            <w:tcW w:w="105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Oma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pääoma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Osake-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pääoma</w:t>
            </w:r>
          </w:p>
        </w:tc>
        <w:tc>
          <w:tcPr>
            <w:tcW w:w="10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Ylikurssi-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rahasto</w:t>
            </w:r>
          </w:p>
        </w:tc>
        <w:tc>
          <w:tcPr>
            <w:tcW w:w="10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Muunto-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erot</w:t>
            </w:r>
          </w:p>
        </w:tc>
        <w:tc>
          <w:tcPr>
            <w:tcW w:w="10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muutos-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rahasto</w:t>
            </w:r>
          </w:p>
        </w:tc>
        <w:tc>
          <w:tcPr>
            <w:tcW w:w="1050" w:type="dxa"/>
            <w:tcBorders>
              <w:top w:val="single" w:sz="8" w:space="0" w:color="0F172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Etuus-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pohjaisen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nettovelan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uudelleen-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määrittämi-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sestä joh-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tuvat erät</w:t>
            </w:r>
          </w:p>
        </w:tc>
        <w:tc>
          <w:tcPr>
            <w:tcW w:w="10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neet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voitto-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varat</w:t>
            </w:r>
          </w:p>
        </w:tc>
        <w:tc>
          <w:tcPr>
            <w:tcW w:w="10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50" w:type="dxa"/>
            <w:tcBorders>
              <w:top w:val="single" w:sz="8" w:space="0" w:color="0F172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 1.1.2019</w:t>
            </w:r>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62" w:name="XBRL_CS_f384813273824d1aa38edcee63094bdf"/>
            <w:bookmarkEnd w:id="762"/>
            <w:bookmarkStart w:id="763" w:name="f384813273824d1aa38edcee63094bdf"/>
            <w:r>
              <w:rPr>
                <w:rFonts w:ascii="Arial" w:eastAsia="Arial" w:hAnsi="Arial" w:cs="Arial"/>
                <w:b w:val="0"/>
                <w:i w:val="0"/>
                <w:strike w:val="0"/>
                <w:color w:val="000000"/>
                <w:sz w:val="13"/>
                <w:u w:val="none"/>
                <w:vertAlign w:val="baseline"/>
              </w:rPr>
              <w:t>336</w:t>
            </w:r>
            <w:bookmarkStart w:id="764" w:name="XBRL_CE_f384813273824d1aa38edcee63094bdf"/>
            <w:bookmarkEnd w:id="763"/>
            <w:bookmarkEnd w:id="764"/>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65" w:name="XBRL_CS_adfb5bac133c4b7aa1c8b2754f0e0926"/>
            <w:bookmarkEnd w:id="765"/>
            <w:bookmarkStart w:id="766" w:name="adfb5bac133c4b7aa1c8b2754f0e0926"/>
            <w:r>
              <w:rPr>
                <w:rFonts w:ascii="Arial" w:eastAsia="Arial" w:hAnsi="Arial" w:cs="Arial"/>
                <w:b w:val="0"/>
                <w:i w:val="0"/>
                <w:strike w:val="0"/>
                <w:color w:val="000000"/>
                <w:sz w:val="13"/>
                <w:u w:val="none"/>
                <w:vertAlign w:val="baseline"/>
              </w:rPr>
              <w:t>61</w:t>
            </w:r>
            <w:bookmarkStart w:id="767" w:name="XBRL_CE_adfb5bac133c4b7aa1c8b2754f0e0926"/>
            <w:bookmarkEnd w:id="766"/>
            <w:bookmarkEnd w:id="767"/>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68" w:name="XBRL_CS_64994878cc4e4f7fa4775c16facb4dee"/>
            <w:bookmarkEnd w:id="768"/>
            <w:bookmarkStart w:id="769" w:name="64994878cc4e4f7fa4775c16facb4dee"/>
            <w:r>
              <w:rPr>
                <w:rFonts w:ascii="Arial" w:eastAsia="Arial" w:hAnsi="Arial" w:cs="Arial"/>
                <w:b w:val="0"/>
                <w:i w:val="0"/>
                <w:strike w:val="0"/>
                <w:color w:val="000000"/>
                <w:sz w:val="13"/>
                <w:u w:val="none"/>
                <w:vertAlign w:val="baseline"/>
              </w:rPr>
              <w:t>-155</w:t>
            </w:r>
            <w:bookmarkStart w:id="770" w:name="XBRL_CE_64994878cc4e4f7fa4775c16facb4dee"/>
            <w:bookmarkEnd w:id="769"/>
            <w:bookmarkEnd w:id="770"/>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71" w:name="XBRL_CS_2326c3dded544a3288839c449b753110"/>
            <w:bookmarkEnd w:id="771"/>
            <w:bookmarkStart w:id="772" w:name="2326c3dded544a3288839c449b753110"/>
            <w:r>
              <w:rPr>
                <w:rFonts w:ascii="Arial" w:eastAsia="Arial" w:hAnsi="Arial" w:cs="Arial"/>
                <w:b w:val="0"/>
                <w:i w:val="0"/>
                <w:strike w:val="0"/>
                <w:color w:val="000000"/>
                <w:sz w:val="13"/>
                <w:u w:val="none"/>
                <w:vertAlign w:val="baseline"/>
              </w:rPr>
              <w:t>-31</w:t>
            </w:r>
            <w:bookmarkStart w:id="773" w:name="XBRL_CE_2326c3dded544a3288839c449b753110"/>
            <w:bookmarkEnd w:id="772"/>
            <w:bookmarkEnd w:id="773"/>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74" w:name="XBRL_CS_5330e78fb1bf4ba1a021f3364fc03828"/>
            <w:bookmarkEnd w:id="774"/>
            <w:bookmarkStart w:id="775" w:name="5330e78fb1bf4ba1a021f3364fc03828"/>
            <w:r>
              <w:rPr>
                <w:rFonts w:ascii="Arial" w:eastAsia="Arial" w:hAnsi="Arial" w:cs="Arial"/>
                <w:b w:val="0"/>
                <w:i w:val="0"/>
                <w:strike w:val="0"/>
                <w:color w:val="000000"/>
                <w:sz w:val="13"/>
                <w:u w:val="none"/>
                <w:vertAlign w:val="baseline"/>
              </w:rPr>
              <w:t>-39</w:t>
            </w:r>
            <w:bookmarkStart w:id="776" w:name="XBRL_CE_5330e78fb1bf4ba1a021f3364fc03828"/>
            <w:bookmarkEnd w:id="775"/>
            <w:bookmarkEnd w:id="776"/>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77" w:name="XBRL_CS_b4c0f11ca575490f9071adc53537865f"/>
            <w:bookmarkEnd w:id="777"/>
            <w:bookmarkStart w:id="778" w:name="b4c0f11ca575490f9071adc53537865f"/>
            <w:r>
              <w:rPr>
                <w:rFonts w:ascii="Arial" w:eastAsia="Arial" w:hAnsi="Arial" w:cs="Arial"/>
                <w:b w:val="0"/>
                <w:i w:val="0"/>
                <w:strike w:val="0"/>
                <w:color w:val="000000"/>
                <w:sz w:val="13"/>
                <w:u w:val="none"/>
                <w:vertAlign w:val="baseline"/>
              </w:rPr>
              <w:t>2 245</w:t>
            </w:r>
            <w:bookmarkStart w:id="779" w:name="XBRL_CE_b4c0f11ca575490f9071adc53537865f"/>
            <w:bookmarkEnd w:id="778"/>
            <w:bookmarkEnd w:id="779"/>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80" w:name="XBRL_CS_99ef8ce240fd4260a56b68e0ef3feb2b"/>
            <w:bookmarkEnd w:id="780"/>
            <w:bookmarkStart w:id="781" w:name="99ef8ce240fd4260a56b68e0ef3feb2b"/>
            <w:r>
              <w:rPr>
                <w:rFonts w:ascii="Arial" w:eastAsia="Arial" w:hAnsi="Arial" w:cs="Arial"/>
                <w:b w:val="0"/>
                <w:i w:val="0"/>
                <w:strike w:val="0"/>
                <w:color w:val="000000"/>
                <w:sz w:val="13"/>
                <w:u w:val="none"/>
                <w:vertAlign w:val="baseline"/>
              </w:rPr>
              <w:t>2 418</w:t>
            </w:r>
            <w:bookmarkStart w:id="782" w:name="XBRL_CE_99ef8ce240fd4260a56b68e0ef3feb2b"/>
            <w:bookmarkEnd w:id="781"/>
            <w:bookmarkEnd w:id="782"/>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83" w:name="XBRL_CS_77a24070ab994a7c9aab07352f650661"/>
            <w:bookmarkEnd w:id="783"/>
            <w:bookmarkStart w:id="784" w:name="77a24070ab994a7c9aab07352f650661"/>
            <w:r>
              <w:rPr>
                <w:rFonts w:ascii="Arial" w:eastAsia="Arial" w:hAnsi="Arial" w:cs="Arial"/>
                <w:b w:val="0"/>
                <w:i w:val="0"/>
                <w:strike w:val="0"/>
                <w:color w:val="000000"/>
                <w:sz w:val="13"/>
                <w:u w:val="none"/>
                <w:vertAlign w:val="baseline"/>
              </w:rPr>
              <w:t>14</w:t>
            </w:r>
            <w:bookmarkStart w:id="785" w:name="XBRL_CE_77a24070ab994a7c9aab07352f650661"/>
            <w:bookmarkEnd w:id="784"/>
            <w:bookmarkEnd w:id="785"/>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86" w:name="XBRL_CS_b337fbbc3c9643829f3944c186f828c2"/>
            <w:bookmarkEnd w:id="786"/>
            <w:bookmarkStart w:id="787" w:name="b337fbbc3c9643829f3944c186f828c2"/>
            <w:r>
              <w:rPr>
                <w:rFonts w:ascii="Arial" w:eastAsia="Arial" w:hAnsi="Arial" w:cs="Arial"/>
                <w:b w:val="0"/>
                <w:i w:val="0"/>
                <w:strike w:val="0"/>
                <w:color w:val="000000"/>
                <w:sz w:val="13"/>
                <w:u w:val="none"/>
                <w:vertAlign w:val="baseline"/>
              </w:rPr>
              <w:t>2 432</w:t>
            </w:r>
            <w:bookmarkStart w:id="788" w:name="XBRL_CE_b337fbbc3c9643829f3944c186f828c2"/>
            <w:bookmarkEnd w:id="787"/>
            <w:bookmarkEnd w:id="788"/>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Muuntoerot</w:t>
            </w: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89" w:name="XBRL_CS_63b2d10e927d4f40bbf95c7dea01e469"/>
            <w:bookmarkEnd w:id="789"/>
            <w:bookmarkStart w:id="790" w:name="63b2d10e927d4f40bbf95c7dea01e469"/>
            <w:r>
              <w:rPr>
                <w:rFonts w:ascii="Arial" w:eastAsia="Arial" w:hAnsi="Arial" w:cs="Arial"/>
                <w:b w:val="0"/>
                <w:i w:val="0"/>
                <w:strike w:val="0"/>
                <w:color w:val="000000"/>
                <w:sz w:val="13"/>
                <w:u w:val="none"/>
                <w:vertAlign w:val="baseline"/>
              </w:rPr>
              <w:t>41</w:t>
            </w:r>
            <w:bookmarkStart w:id="791" w:name="XBRL_CE_63b2d10e927d4f40bbf95c7dea01e469"/>
            <w:bookmarkEnd w:id="790"/>
            <w:bookmarkEnd w:id="791"/>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92" w:name="XBRL_CS_bb884ec41df94b668a09ab9b1fad5f49"/>
            <w:bookmarkEnd w:id="792"/>
            <w:bookmarkStart w:id="793" w:name="bb884ec41df94b668a09ab9b1fad5f49"/>
            <w:r>
              <w:rPr>
                <w:rFonts w:ascii="Arial" w:eastAsia="Arial" w:hAnsi="Arial" w:cs="Arial"/>
                <w:b w:val="0"/>
                <w:i w:val="0"/>
                <w:strike w:val="0"/>
                <w:color w:val="000000"/>
                <w:sz w:val="13"/>
                <w:u w:val="none"/>
                <w:vertAlign w:val="baseline"/>
              </w:rPr>
              <w:t>41</w:t>
            </w:r>
            <w:bookmarkStart w:id="794" w:name="XBRL_CE_bb884ec41df94b668a09ab9b1fad5f49"/>
            <w:bookmarkEnd w:id="793"/>
            <w:bookmarkEnd w:id="794"/>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95" w:name="XBRL_CS_303b778362784e21813872bd7913b5aa"/>
            <w:bookmarkEnd w:id="795"/>
            <w:bookmarkStart w:id="796" w:name="303b778362784e21813872bd7913b5aa"/>
            <w:r>
              <w:rPr>
                <w:rFonts w:ascii="Arial" w:eastAsia="Arial" w:hAnsi="Arial" w:cs="Arial"/>
                <w:b w:val="0"/>
                <w:i w:val="0"/>
                <w:strike w:val="0"/>
                <w:color w:val="000000"/>
                <w:sz w:val="13"/>
                <w:u w:val="none"/>
                <w:vertAlign w:val="baseline"/>
              </w:rPr>
              <w:t>41</w:t>
            </w:r>
            <w:bookmarkStart w:id="797" w:name="XBRL_CE_303b778362784e21813872bd7913b5aa"/>
            <w:bookmarkEnd w:id="796"/>
            <w:bookmarkEnd w:id="797"/>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Rahavirran suojaukset</w:t>
            </w: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käyvän arvon nettomuutos verojen jälkeen</w:t>
            </w: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798" w:name="XBRL_CS_37073400799044bd989e959c66362d73"/>
            <w:bookmarkEnd w:id="798"/>
            <w:bookmarkStart w:id="799" w:name="37073400799044bd989e959c66362d73"/>
            <w:r>
              <w:rPr>
                <w:rFonts w:ascii="Arial" w:eastAsia="Arial" w:hAnsi="Arial" w:cs="Arial"/>
                <w:b w:val="0"/>
                <w:i w:val="0"/>
                <w:strike w:val="0"/>
                <w:color w:val="000000"/>
                <w:sz w:val="13"/>
                <w:u w:val="none"/>
                <w:vertAlign w:val="baseline"/>
              </w:rPr>
              <w:t>4</w:t>
            </w:r>
            <w:bookmarkStart w:id="800" w:name="XBRL_CE_37073400799044bd989e959c66362d73"/>
            <w:bookmarkEnd w:id="799"/>
            <w:bookmarkEnd w:id="800"/>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01" w:name="XBRL_CS_1697757b57bd4b1c9f7233abc60c4b9a"/>
            <w:bookmarkEnd w:id="801"/>
            <w:bookmarkStart w:id="802" w:name="1697757b57bd4b1c9f7233abc60c4b9a"/>
            <w:r>
              <w:rPr>
                <w:rFonts w:ascii="Arial" w:eastAsia="Arial" w:hAnsi="Arial" w:cs="Arial"/>
                <w:b w:val="0"/>
                <w:i w:val="0"/>
                <w:strike w:val="0"/>
                <w:color w:val="000000"/>
                <w:sz w:val="13"/>
                <w:u w:val="none"/>
                <w:vertAlign w:val="baseline"/>
              </w:rPr>
              <w:t>4</w:t>
            </w:r>
            <w:bookmarkStart w:id="803" w:name="XBRL_CE_1697757b57bd4b1c9f7233abc60c4b9a"/>
            <w:bookmarkEnd w:id="802"/>
            <w:bookmarkEnd w:id="803"/>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04" w:name="XBRL_CS_989694b1ffcc4fb49384a803658b6f85"/>
            <w:bookmarkEnd w:id="804"/>
            <w:bookmarkStart w:id="805" w:name="989694b1ffcc4fb49384a803658b6f85"/>
            <w:r>
              <w:rPr>
                <w:rFonts w:ascii="Arial" w:eastAsia="Arial" w:hAnsi="Arial" w:cs="Arial"/>
                <w:b w:val="0"/>
                <w:i w:val="0"/>
                <w:strike w:val="0"/>
                <w:color w:val="000000"/>
                <w:sz w:val="13"/>
                <w:u w:val="none"/>
                <w:vertAlign w:val="baseline"/>
              </w:rPr>
              <w:t>4</w:t>
            </w:r>
            <w:bookmarkStart w:id="806" w:name="XBRL_CE_989694b1ffcc4fb49384a803658b6f85"/>
            <w:bookmarkEnd w:id="805"/>
            <w:bookmarkEnd w:id="806"/>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siirretty tuloslaskelmaan, veroilla vähennettynä</w:t>
            </w: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07" w:name="XBRL_CS_81ac8c00f1284d8788b5b1825daa9d35"/>
            <w:bookmarkEnd w:id="807"/>
            <w:bookmarkStart w:id="808" w:name="81ac8c00f1284d8788b5b1825daa9d35"/>
            <w:r>
              <w:rPr>
                <w:rFonts w:ascii="Arial" w:eastAsia="Arial" w:hAnsi="Arial" w:cs="Arial"/>
                <w:b w:val="0"/>
                <w:i w:val="0"/>
                <w:strike w:val="0"/>
                <w:color w:val="000000"/>
                <w:sz w:val="13"/>
                <w:u w:val="none"/>
                <w:vertAlign w:val="baseline"/>
              </w:rPr>
              <w:t>16</w:t>
            </w:r>
            <w:bookmarkStart w:id="809" w:name="XBRL_CE_81ac8c00f1284d8788b5b1825daa9d35"/>
            <w:bookmarkEnd w:id="808"/>
            <w:bookmarkEnd w:id="809"/>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10" w:name="XBRL_CS_9ce6390f610e4c7898fcb10b2e042bc9"/>
            <w:bookmarkEnd w:id="810"/>
            <w:bookmarkStart w:id="811" w:name="9ce6390f610e4c7898fcb10b2e042bc9"/>
            <w:r>
              <w:rPr>
                <w:rFonts w:ascii="Arial" w:eastAsia="Arial" w:hAnsi="Arial" w:cs="Arial"/>
                <w:b w:val="0"/>
                <w:i w:val="0"/>
                <w:strike w:val="0"/>
                <w:color w:val="000000"/>
                <w:sz w:val="13"/>
                <w:u w:val="none"/>
                <w:vertAlign w:val="baseline"/>
              </w:rPr>
              <w:t>16</w:t>
            </w:r>
            <w:bookmarkStart w:id="812" w:name="XBRL_CE_9ce6390f610e4c7898fcb10b2e042bc9"/>
            <w:bookmarkEnd w:id="811"/>
            <w:bookmarkEnd w:id="812"/>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13" w:name="XBRL_CS_f32b0059f8fb426a9665ea9fb8f6c957"/>
            <w:bookmarkEnd w:id="813"/>
            <w:bookmarkStart w:id="814" w:name="f32b0059f8fb426a9665ea9fb8f6c957"/>
            <w:r>
              <w:rPr>
                <w:rFonts w:ascii="Arial" w:eastAsia="Arial" w:hAnsi="Arial" w:cs="Arial"/>
                <w:b w:val="0"/>
                <w:i w:val="0"/>
                <w:strike w:val="0"/>
                <w:color w:val="000000"/>
                <w:sz w:val="13"/>
                <w:u w:val="none"/>
                <w:vertAlign w:val="baseline"/>
              </w:rPr>
              <w:t>16</w:t>
            </w:r>
            <w:bookmarkStart w:id="815" w:name="XBRL_CE_f32b0059f8fb426a9665ea9fb8f6c957"/>
            <w:bookmarkEnd w:id="814"/>
            <w:bookmarkEnd w:id="815"/>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Etuuspohjaiset eläkejärjestelyt</w:t>
            </w: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16" w:name="XBRL_CS_66ee34e0e5624923bb3e3841dad6e0c5"/>
            <w:bookmarkEnd w:id="816"/>
            <w:bookmarkStart w:id="817" w:name="66ee34e0e5624923bb3e3841dad6e0c5"/>
            <w:r>
              <w:rPr>
                <w:rFonts w:ascii="Arial" w:eastAsia="Arial" w:hAnsi="Arial" w:cs="Arial"/>
                <w:b w:val="0"/>
                <w:i w:val="0"/>
                <w:strike w:val="0"/>
                <w:color w:val="000000"/>
                <w:sz w:val="13"/>
                <w:u w:val="none"/>
                <w:vertAlign w:val="baseline"/>
              </w:rPr>
              <w:t>-16</w:t>
            </w:r>
            <w:bookmarkStart w:id="818" w:name="XBRL_CE_66ee34e0e5624923bb3e3841dad6e0c5"/>
            <w:bookmarkEnd w:id="817"/>
            <w:bookmarkEnd w:id="818"/>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19" w:name="XBRL_CS_0d7b1ba7753946ccbcb91a207593899f"/>
            <w:bookmarkEnd w:id="819"/>
            <w:bookmarkStart w:id="820" w:name="0d7b1ba7753946ccbcb91a207593899f"/>
            <w:r>
              <w:rPr>
                <w:rFonts w:ascii="Arial" w:eastAsia="Arial" w:hAnsi="Arial" w:cs="Arial"/>
                <w:b w:val="0"/>
                <w:i w:val="0"/>
                <w:strike w:val="0"/>
                <w:color w:val="000000"/>
                <w:sz w:val="13"/>
                <w:u w:val="none"/>
                <w:vertAlign w:val="baseline"/>
              </w:rPr>
              <w:t>-16</w:t>
            </w:r>
            <w:bookmarkStart w:id="821" w:name="XBRL_CE_0d7b1ba7753946ccbcb91a207593899f"/>
            <w:bookmarkEnd w:id="820"/>
            <w:bookmarkEnd w:id="821"/>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22" w:name="XBRL_CS_4bdb04808bb745f5a3069a7c3049afb7"/>
            <w:bookmarkEnd w:id="822"/>
            <w:bookmarkStart w:id="823" w:name="4bdb04808bb745f5a3069a7c3049afb7"/>
            <w:r>
              <w:rPr>
                <w:rFonts w:ascii="Arial" w:eastAsia="Arial" w:hAnsi="Arial" w:cs="Arial"/>
                <w:b w:val="0"/>
                <w:i w:val="0"/>
                <w:strike w:val="0"/>
                <w:color w:val="000000"/>
                <w:sz w:val="13"/>
                <w:u w:val="none"/>
                <w:vertAlign w:val="baseline"/>
              </w:rPr>
              <w:t>-16</w:t>
            </w:r>
            <w:bookmarkStart w:id="824" w:name="XBRL_CE_4bdb04808bb745f5a3069a7c3049afb7"/>
            <w:bookmarkEnd w:id="823"/>
            <w:bookmarkEnd w:id="824"/>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Laajan tuloksen erät</w:t>
            </w: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25" w:name="XBRL_CS_6dba307945424ec88da5ec40d134b835"/>
            <w:bookmarkEnd w:id="825"/>
            <w:bookmarkStart w:id="826" w:name="6dba307945424ec88da5ec40d134b835"/>
            <w:r>
              <w:rPr>
                <w:rFonts w:ascii="Arial" w:eastAsia="Arial" w:hAnsi="Arial" w:cs="Arial"/>
                <w:b w:val="0"/>
                <w:i w:val="0"/>
                <w:strike w:val="0"/>
                <w:color w:val="000000"/>
                <w:sz w:val="13"/>
                <w:u w:val="none"/>
                <w:vertAlign w:val="baseline"/>
              </w:rPr>
              <w:t>41</w:t>
            </w:r>
            <w:bookmarkStart w:id="827" w:name="XBRL_CE_6dba307945424ec88da5ec40d134b835"/>
            <w:bookmarkEnd w:id="826"/>
            <w:bookmarkEnd w:id="827"/>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28" w:name="XBRL_CS_a33f5efd6f7e439490f4f685a2ea5bdc"/>
            <w:bookmarkEnd w:id="828"/>
            <w:bookmarkStart w:id="829" w:name="a33f5efd6f7e439490f4f685a2ea5bdc"/>
            <w:r>
              <w:rPr>
                <w:rFonts w:ascii="Arial" w:eastAsia="Arial" w:hAnsi="Arial" w:cs="Arial"/>
                <w:b w:val="0"/>
                <w:i w:val="0"/>
                <w:strike w:val="0"/>
                <w:color w:val="000000"/>
                <w:sz w:val="13"/>
                <w:u w:val="none"/>
                <w:vertAlign w:val="baseline"/>
              </w:rPr>
              <w:t>20</w:t>
            </w:r>
            <w:bookmarkStart w:id="830" w:name="XBRL_CE_a33f5efd6f7e439490f4f685a2ea5bdc"/>
            <w:bookmarkEnd w:id="829"/>
            <w:bookmarkEnd w:id="830"/>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31" w:name="XBRL_CS_e2fd4c63da0d4977ad27e6cc3fca166c"/>
            <w:bookmarkEnd w:id="831"/>
            <w:bookmarkStart w:id="832" w:name="e2fd4c63da0d4977ad27e6cc3fca166c"/>
            <w:r>
              <w:rPr>
                <w:rFonts w:ascii="Arial" w:eastAsia="Arial" w:hAnsi="Arial" w:cs="Arial"/>
                <w:b w:val="0"/>
                <w:i w:val="0"/>
                <w:strike w:val="0"/>
                <w:color w:val="000000"/>
                <w:sz w:val="13"/>
                <w:u w:val="none"/>
                <w:vertAlign w:val="baseline"/>
              </w:rPr>
              <w:t>-16</w:t>
            </w:r>
            <w:bookmarkStart w:id="833" w:name="XBRL_CE_e2fd4c63da0d4977ad27e6cc3fca166c"/>
            <w:bookmarkEnd w:id="832"/>
            <w:bookmarkEnd w:id="833"/>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34" w:name="XBRL_CS_1b7b61e40e65415482ee14160b40f848"/>
            <w:bookmarkEnd w:id="834"/>
            <w:bookmarkStart w:id="835" w:name="1b7b61e40e65415482ee14160b40f848"/>
            <w:r>
              <w:rPr>
                <w:rFonts w:ascii="Arial" w:eastAsia="Arial" w:hAnsi="Arial" w:cs="Arial"/>
                <w:b w:val="0"/>
                <w:i w:val="0"/>
                <w:strike w:val="0"/>
                <w:color w:val="000000"/>
                <w:sz w:val="13"/>
                <w:u w:val="none"/>
                <w:vertAlign w:val="baseline"/>
              </w:rPr>
              <w:t>45</w:t>
            </w:r>
            <w:bookmarkStart w:id="836" w:name="XBRL_CE_1b7b61e40e65415482ee14160b40f848"/>
            <w:bookmarkEnd w:id="835"/>
            <w:bookmarkEnd w:id="836"/>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37" w:name="XBRL_CS_10a594352112459a9cac36568980540c"/>
            <w:bookmarkEnd w:id="837"/>
            <w:bookmarkStart w:id="838" w:name="10a594352112459a9cac36568980540c"/>
            <w:r>
              <w:rPr>
                <w:rFonts w:ascii="Arial" w:eastAsia="Arial" w:hAnsi="Arial" w:cs="Arial"/>
                <w:b w:val="0"/>
                <w:i w:val="0"/>
                <w:strike w:val="0"/>
                <w:color w:val="000000"/>
                <w:sz w:val="13"/>
                <w:u w:val="none"/>
                <w:vertAlign w:val="baseline"/>
              </w:rPr>
              <w:t>45</w:t>
            </w:r>
            <w:bookmarkStart w:id="839" w:name="XBRL_CE_10a594352112459a9cac36568980540c"/>
            <w:bookmarkEnd w:id="838"/>
            <w:bookmarkEnd w:id="839"/>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tulos</w:t>
            </w: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40" w:name="XBRL_CS_50edfeff50cd452ab257f956d5da6fbf"/>
            <w:bookmarkEnd w:id="840"/>
            <w:bookmarkStart w:id="841" w:name="50edfeff50cd452ab257f956d5da6fbf"/>
            <w:r>
              <w:rPr>
                <w:rFonts w:ascii="Arial" w:eastAsia="Arial" w:hAnsi="Arial" w:cs="Arial"/>
                <w:b w:val="0"/>
                <w:i w:val="0"/>
                <w:strike w:val="0"/>
                <w:color w:val="000000"/>
                <w:sz w:val="13"/>
                <w:u w:val="none"/>
                <w:vertAlign w:val="baseline"/>
              </w:rPr>
              <w:t>217</w:t>
            </w:r>
            <w:bookmarkStart w:id="842" w:name="XBRL_CE_50edfeff50cd452ab257f956d5da6fbf"/>
            <w:bookmarkEnd w:id="841"/>
            <w:bookmarkEnd w:id="842"/>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43" w:name="XBRL_CS_f3e6ca4387b7439c83a92a48a5561765"/>
            <w:bookmarkEnd w:id="843"/>
            <w:bookmarkStart w:id="844" w:name="f3e6ca4387b7439c83a92a48a5561765"/>
            <w:r>
              <w:rPr>
                <w:rFonts w:ascii="Arial" w:eastAsia="Arial" w:hAnsi="Arial" w:cs="Arial"/>
                <w:b w:val="0"/>
                <w:i w:val="0"/>
                <w:strike w:val="0"/>
                <w:color w:val="000000"/>
                <w:sz w:val="13"/>
                <w:u w:val="none"/>
                <w:vertAlign w:val="baseline"/>
              </w:rPr>
              <w:t>217</w:t>
            </w:r>
            <w:bookmarkStart w:id="845" w:name="XBRL_CE_f3e6ca4387b7439c83a92a48a5561765"/>
            <w:bookmarkEnd w:id="844"/>
            <w:bookmarkEnd w:id="845"/>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46" w:name="XBRL_CS_69f3f4cae84842399d9f1758ac0066cd"/>
            <w:bookmarkEnd w:id="846"/>
            <w:bookmarkStart w:id="847" w:name="69f3f4cae84842399d9f1758ac0066cd"/>
            <w:r>
              <w:rPr>
                <w:rFonts w:ascii="Arial" w:eastAsia="Arial" w:hAnsi="Arial" w:cs="Arial"/>
                <w:b w:val="0"/>
                <w:i w:val="0"/>
                <w:strike w:val="0"/>
                <w:color w:val="000000"/>
                <w:sz w:val="13"/>
                <w:u w:val="none"/>
                <w:vertAlign w:val="baseline"/>
              </w:rPr>
              <w:t>1</w:t>
            </w:r>
            <w:bookmarkStart w:id="848" w:name="XBRL_CE_69f3f4cae84842399d9f1758ac0066cd"/>
            <w:bookmarkEnd w:id="847"/>
            <w:bookmarkEnd w:id="848"/>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49" w:name="XBRL_CS_1820df939721466ea0c4bc74b947fe4c"/>
            <w:bookmarkEnd w:id="849"/>
            <w:bookmarkStart w:id="850" w:name="1820df939721466ea0c4bc74b947fe4c"/>
            <w:r>
              <w:rPr>
                <w:rFonts w:ascii="Arial" w:eastAsia="Arial" w:hAnsi="Arial" w:cs="Arial"/>
                <w:b w:val="0"/>
                <w:i w:val="0"/>
                <w:strike w:val="0"/>
                <w:color w:val="000000"/>
                <w:sz w:val="13"/>
                <w:u w:val="none"/>
                <w:vertAlign w:val="baseline"/>
              </w:rPr>
              <w:t>218</w:t>
            </w:r>
            <w:bookmarkStart w:id="851" w:name="XBRL_CE_1820df939721466ea0c4bc74b947fe4c"/>
            <w:bookmarkEnd w:id="850"/>
            <w:bookmarkEnd w:id="851"/>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Tilikauden laaja tulos yhteensä</w:t>
            </w: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52" w:name="XBRL_CS_f0aaf355319e41c7a82ae839054e419a"/>
            <w:bookmarkEnd w:id="852"/>
            <w:bookmarkStart w:id="853" w:name="f0aaf355319e41c7a82ae839054e419a"/>
            <w:r>
              <w:rPr>
                <w:rFonts w:ascii="Arial" w:eastAsia="Arial" w:hAnsi="Arial" w:cs="Arial"/>
                <w:b w:val="0"/>
                <w:i w:val="0"/>
                <w:strike w:val="0"/>
                <w:color w:val="000000"/>
                <w:sz w:val="13"/>
                <w:u w:val="none"/>
                <w:vertAlign w:val="baseline"/>
              </w:rPr>
              <w:t>41</w:t>
            </w:r>
            <w:bookmarkStart w:id="854" w:name="XBRL_CE_f0aaf355319e41c7a82ae839054e419a"/>
            <w:bookmarkEnd w:id="853"/>
            <w:bookmarkEnd w:id="854"/>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55" w:name="XBRL_CS_4ee10522afdd49e29c8d9840e501e762"/>
            <w:bookmarkEnd w:id="855"/>
            <w:bookmarkStart w:id="856" w:name="4ee10522afdd49e29c8d9840e501e762"/>
            <w:r>
              <w:rPr>
                <w:rFonts w:ascii="Arial" w:eastAsia="Arial" w:hAnsi="Arial" w:cs="Arial"/>
                <w:b w:val="0"/>
                <w:i w:val="0"/>
                <w:strike w:val="0"/>
                <w:color w:val="000000"/>
                <w:sz w:val="13"/>
                <w:u w:val="none"/>
                <w:vertAlign w:val="baseline"/>
              </w:rPr>
              <w:t>20</w:t>
            </w:r>
            <w:bookmarkStart w:id="857" w:name="XBRL_CE_4ee10522afdd49e29c8d9840e501e762"/>
            <w:bookmarkEnd w:id="856"/>
            <w:bookmarkEnd w:id="857"/>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58" w:name="XBRL_CS_3c368e0f2f604c88b748198f1884327e"/>
            <w:bookmarkEnd w:id="858"/>
            <w:bookmarkStart w:id="859" w:name="3c368e0f2f604c88b748198f1884327e"/>
            <w:r>
              <w:rPr>
                <w:rFonts w:ascii="Arial" w:eastAsia="Arial" w:hAnsi="Arial" w:cs="Arial"/>
                <w:b w:val="0"/>
                <w:i w:val="0"/>
                <w:strike w:val="0"/>
                <w:color w:val="000000"/>
                <w:sz w:val="13"/>
                <w:u w:val="none"/>
                <w:vertAlign w:val="baseline"/>
              </w:rPr>
              <w:t>-16</w:t>
            </w:r>
            <w:bookmarkStart w:id="860" w:name="XBRL_CE_3c368e0f2f604c88b748198f1884327e"/>
            <w:bookmarkEnd w:id="859"/>
            <w:bookmarkEnd w:id="860"/>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61" w:name="XBRL_CS_248bccb9e6a34ca1973799c080b1424e"/>
            <w:bookmarkEnd w:id="861"/>
            <w:bookmarkStart w:id="862" w:name="248bccb9e6a34ca1973799c080b1424e"/>
            <w:r>
              <w:rPr>
                <w:rFonts w:ascii="Arial" w:eastAsia="Arial" w:hAnsi="Arial" w:cs="Arial"/>
                <w:b w:val="0"/>
                <w:i w:val="0"/>
                <w:strike w:val="0"/>
                <w:color w:val="000000"/>
                <w:sz w:val="13"/>
                <w:u w:val="none"/>
                <w:vertAlign w:val="baseline"/>
              </w:rPr>
              <w:t>217</w:t>
            </w:r>
            <w:bookmarkStart w:id="863" w:name="XBRL_CE_248bccb9e6a34ca1973799c080b1424e"/>
            <w:bookmarkEnd w:id="862"/>
            <w:bookmarkEnd w:id="863"/>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64" w:name="XBRL_CS_0008d6d485da42348d141957d2af927b"/>
            <w:bookmarkEnd w:id="864"/>
            <w:bookmarkStart w:id="865" w:name="0008d6d485da42348d141957d2af927b"/>
            <w:r>
              <w:rPr>
                <w:rFonts w:ascii="Arial" w:eastAsia="Arial" w:hAnsi="Arial" w:cs="Arial"/>
                <w:b w:val="0"/>
                <w:i w:val="0"/>
                <w:strike w:val="0"/>
                <w:color w:val="000000"/>
                <w:sz w:val="13"/>
                <w:u w:val="none"/>
                <w:vertAlign w:val="baseline"/>
              </w:rPr>
              <w:t>262</w:t>
            </w:r>
            <w:bookmarkStart w:id="866" w:name="XBRL_CE_0008d6d485da42348d141957d2af927b"/>
            <w:bookmarkEnd w:id="865"/>
            <w:bookmarkEnd w:id="866"/>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67" w:name="XBRL_CS_db70e14449a54cae81925cdcac73ffd6"/>
            <w:bookmarkEnd w:id="867"/>
            <w:bookmarkStart w:id="868" w:name="db70e14449a54cae81925cdcac73ffd6"/>
            <w:r>
              <w:rPr>
                <w:rFonts w:ascii="Arial" w:eastAsia="Arial" w:hAnsi="Arial" w:cs="Arial"/>
                <w:b w:val="0"/>
                <w:i w:val="0"/>
                <w:strike w:val="0"/>
                <w:color w:val="000000"/>
                <w:sz w:val="13"/>
                <w:u w:val="none"/>
                <w:vertAlign w:val="baseline"/>
              </w:rPr>
              <w:t>1</w:t>
            </w:r>
            <w:bookmarkStart w:id="869" w:name="XBRL_CE_db70e14449a54cae81925cdcac73ffd6"/>
            <w:bookmarkEnd w:id="868"/>
            <w:bookmarkEnd w:id="869"/>
          </w:p>
        </w:tc>
        <w:tc>
          <w:tcPr>
            <w:tcW w:w="105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70" w:name="XBRL_CS_e3c90149b90b435ea307c284ef9bf9c8"/>
            <w:bookmarkEnd w:id="870"/>
            <w:bookmarkStart w:id="871" w:name="e3c90149b90b435ea307c284ef9bf9c8"/>
            <w:r>
              <w:rPr>
                <w:rFonts w:ascii="Arial" w:eastAsia="Arial" w:hAnsi="Arial" w:cs="Arial"/>
                <w:b w:val="0"/>
                <w:i w:val="0"/>
                <w:strike w:val="0"/>
                <w:color w:val="000000"/>
                <w:sz w:val="13"/>
                <w:u w:val="none"/>
                <w:vertAlign w:val="baseline"/>
              </w:rPr>
              <w:t>263</w:t>
            </w:r>
            <w:bookmarkStart w:id="872" w:name="XBRL_CE_e3c90149b90b435ea307c284ef9bf9c8"/>
            <w:bookmarkEnd w:id="871"/>
            <w:bookmarkEnd w:id="872"/>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Maksetut osingot</w:t>
            </w: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73" w:name="XBRL_CS_1efe4a0f037a4a1195f1ceda2e244322"/>
            <w:bookmarkEnd w:id="873"/>
            <w:bookmarkStart w:id="874" w:name="1efe4a0f037a4a1195f1ceda2e244322"/>
            <w:r>
              <w:rPr>
                <w:rFonts w:ascii="Arial" w:eastAsia="Arial" w:hAnsi="Arial" w:cs="Arial"/>
                <w:b w:val="0"/>
                <w:i w:val="0"/>
                <w:strike w:val="0"/>
                <w:color w:val="000000"/>
                <w:sz w:val="13"/>
                <w:u w:val="none"/>
                <w:vertAlign w:val="baseline"/>
              </w:rPr>
              <w:t>-284</w:t>
            </w:r>
            <w:bookmarkStart w:id="875" w:name="XBRL_CE_1efe4a0f037a4a1195f1ceda2e244322"/>
            <w:bookmarkEnd w:id="874"/>
            <w:bookmarkEnd w:id="875"/>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76" w:name="XBRL_CS_7d62a2de3ed2423d9f5c6b0d2bb5346a"/>
            <w:bookmarkEnd w:id="876"/>
            <w:bookmarkStart w:id="877" w:name="7d62a2de3ed2423d9f5c6b0d2bb5346a"/>
            <w:r>
              <w:rPr>
                <w:rFonts w:ascii="Arial" w:eastAsia="Arial" w:hAnsi="Arial" w:cs="Arial"/>
                <w:b w:val="0"/>
                <w:i w:val="0"/>
                <w:strike w:val="0"/>
                <w:color w:val="000000"/>
                <w:sz w:val="13"/>
                <w:u w:val="none"/>
                <w:vertAlign w:val="baseline"/>
              </w:rPr>
              <w:t>-284</w:t>
            </w:r>
            <w:bookmarkStart w:id="878" w:name="XBRL_CE_7d62a2de3ed2423d9f5c6b0d2bb5346a"/>
            <w:bookmarkEnd w:id="877"/>
            <w:bookmarkEnd w:id="878"/>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79" w:name="XBRL_CS_2826e858a23f44adaf2fb940604a2b79"/>
            <w:bookmarkEnd w:id="879"/>
            <w:bookmarkStart w:id="880" w:name="2826e858a23f44adaf2fb940604a2b79"/>
            <w:r>
              <w:rPr>
                <w:rFonts w:ascii="Arial" w:eastAsia="Arial" w:hAnsi="Arial" w:cs="Arial"/>
                <w:b w:val="0"/>
                <w:i w:val="0"/>
                <w:strike w:val="0"/>
                <w:color w:val="000000"/>
                <w:sz w:val="13"/>
                <w:u w:val="none"/>
                <w:vertAlign w:val="baseline"/>
              </w:rPr>
              <w:t>-1</w:t>
            </w:r>
            <w:bookmarkStart w:id="881" w:name="XBRL_CE_2826e858a23f44adaf2fb940604a2b79"/>
            <w:bookmarkEnd w:id="880"/>
            <w:bookmarkEnd w:id="881"/>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82" w:name="XBRL_CS_16217cfa58b9485d9f8800afe8482c63"/>
            <w:bookmarkEnd w:id="882"/>
            <w:bookmarkStart w:id="883" w:name="16217cfa58b9485d9f8800afe8482c63"/>
            <w:r>
              <w:rPr>
                <w:rFonts w:ascii="Arial" w:eastAsia="Arial" w:hAnsi="Arial" w:cs="Arial"/>
                <w:b w:val="0"/>
                <w:i w:val="0"/>
                <w:strike w:val="0"/>
                <w:color w:val="000000"/>
                <w:sz w:val="13"/>
                <w:u w:val="none"/>
                <w:vertAlign w:val="baseline"/>
              </w:rPr>
              <w:t>-285</w:t>
            </w:r>
            <w:bookmarkStart w:id="884" w:name="XBRL_CE_16217cfa58b9485d9f8800afe8482c63"/>
            <w:bookmarkEnd w:id="883"/>
            <w:bookmarkEnd w:id="884"/>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 31.12.2019</w:t>
            </w:r>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85" w:name="XBRL_CS_f473ff176b20412baa7e4c5a6db06043"/>
            <w:bookmarkEnd w:id="885"/>
            <w:bookmarkStart w:id="886" w:name="f473ff176b20412baa7e4c5a6db06043"/>
            <w:r>
              <w:rPr>
                <w:rFonts w:ascii="Arial" w:eastAsia="Arial" w:hAnsi="Arial" w:cs="Arial"/>
                <w:b w:val="0"/>
                <w:i w:val="0"/>
                <w:strike w:val="0"/>
                <w:color w:val="000000"/>
                <w:sz w:val="13"/>
                <w:u w:val="none"/>
                <w:vertAlign w:val="baseline"/>
              </w:rPr>
              <w:t>336</w:t>
            </w:r>
            <w:bookmarkStart w:id="887" w:name="XBRL_CE_f473ff176b20412baa7e4c5a6db06043"/>
            <w:bookmarkEnd w:id="886"/>
            <w:bookmarkEnd w:id="887"/>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88" w:name="XBRL_CS_4c20f62af2e546a8b90e0639e135ebaa"/>
            <w:bookmarkEnd w:id="888"/>
            <w:bookmarkStart w:id="889" w:name="4c20f62af2e546a8b90e0639e135ebaa"/>
            <w:r>
              <w:rPr>
                <w:rFonts w:ascii="Arial" w:eastAsia="Arial" w:hAnsi="Arial" w:cs="Arial"/>
                <w:b w:val="0"/>
                <w:i w:val="0"/>
                <w:strike w:val="0"/>
                <w:color w:val="000000"/>
                <w:sz w:val="13"/>
                <w:u w:val="none"/>
                <w:vertAlign w:val="baseline"/>
              </w:rPr>
              <w:t>61</w:t>
            </w:r>
            <w:bookmarkStart w:id="890" w:name="XBRL_CE_4c20f62af2e546a8b90e0639e135ebaa"/>
            <w:bookmarkEnd w:id="889"/>
            <w:bookmarkEnd w:id="890"/>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91" w:name="XBRL_CS_25464ff0a70b4bdd8ab47cb55845f2a5"/>
            <w:bookmarkEnd w:id="891"/>
            <w:bookmarkStart w:id="892" w:name="25464ff0a70b4bdd8ab47cb55845f2a5"/>
            <w:r>
              <w:rPr>
                <w:rFonts w:ascii="Arial" w:eastAsia="Arial" w:hAnsi="Arial" w:cs="Arial"/>
                <w:b w:val="0"/>
                <w:i w:val="0"/>
                <w:strike w:val="0"/>
                <w:color w:val="000000"/>
                <w:sz w:val="13"/>
                <w:u w:val="none"/>
                <w:vertAlign w:val="baseline"/>
              </w:rPr>
              <w:t>-114</w:t>
            </w:r>
            <w:bookmarkStart w:id="893" w:name="XBRL_CE_25464ff0a70b4bdd8ab47cb55845f2a5"/>
            <w:bookmarkEnd w:id="892"/>
            <w:bookmarkEnd w:id="893"/>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94" w:name="XBRL_CS_abf1ba3799244396a15039c67db7e5e1"/>
            <w:bookmarkEnd w:id="894"/>
            <w:bookmarkStart w:id="895" w:name="abf1ba3799244396a15039c67db7e5e1"/>
            <w:r>
              <w:rPr>
                <w:rFonts w:ascii="Arial" w:eastAsia="Arial" w:hAnsi="Arial" w:cs="Arial"/>
                <w:b w:val="0"/>
                <w:i w:val="0"/>
                <w:strike w:val="0"/>
                <w:color w:val="000000"/>
                <w:sz w:val="13"/>
                <w:u w:val="none"/>
                <w:vertAlign w:val="baseline"/>
              </w:rPr>
              <w:t>-11</w:t>
            </w:r>
            <w:bookmarkStart w:id="896" w:name="XBRL_CE_abf1ba3799244396a15039c67db7e5e1"/>
            <w:bookmarkEnd w:id="895"/>
            <w:bookmarkEnd w:id="896"/>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897" w:name="XBRL_CS_679a074fe6fd42ff8b6a7a8db7921d96"/>
            <w:bookmarkEnd w:id="897"/>
            <w:bookmarkStart w:id="898" w:name="679a074fe6fd42ff8b6a7a8db7921d96"/>
            <w:r>
              <w:rPr>
                <w:rFonts w:ascii="Arial" w:eastAsia="Arial" w:hAnsi="Arial" w:cs="Arial"/>
                <w:b w:val="0"/>
                <w:i w:val="0"/>
                <w:strike w:val="0"/>
                <w:color w:val="000000"/>
                <w:sz w:val="13"/>
                <w:u w:val="none"/>
                <w:vertAlign w:val="baseline"/>
              </w:rPr>
              <w:t>-55</w:t>
            </w:r>
            <w:bookmarkStart w:id="899" w:name="XBRL_CE_679a074fe6fd42ff8b6a7a8db7921d96"/>
            <w:bookmarkEnd w:id="898"/>
            <w:bookmarkEnd w:id="899"/>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00" w:name="XBRL_CS_857a81921d994a67b3335d96bf8cb8a5"/>
            <w:bookmarkEnd w:id="900"/>
            <w:bookmarkStart w:id="901" w:name="857a81921d994a67b3335d96bf8cb8a5"/>
            <w:r>
              <w:rPr>
                <w:rFonts w:ascii="Arial" w:eastAsia="Arial" w:hAnsi="Arial" w:cs="Arial"/>
                <w:b w:val="0"/>
                <w:i w:val="0"/>
                <w:strike w:val="0"/>
                <w:color w:val="000000"/>
                <w:sz w:val="13"/>
                <w:u w:val="none"/>
                <w:vertAlign w:val="baseline"/>
              </w:rPr>
              <w:t>2 178</w:t>
            </w:r>
            <w:bookmarkStart w:id="902" w:name="XBRL_CE_857a81921d994a67b3335d96bf8cb8a5"/>
            <w:bookmarkEnd w:id="901"/>
            <w:bookmarkEnd w:id="902"/>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03" w:name="XBRL_CS_c7b4bdf64dcd40038cf35c488d493de2"/>
            <w:bookmarkEnd w:id="903"/>
            <w:bookmarkStart w:id="904" w:name="c7b4bdf64dcd40038cf35c488d493de2"/>
            <w:r>
              <w:rPr>
                <w:rFonts w:ascii="Arial" w:eastAsia="Arial" w:hAnsi="Arial" w:cs="Arial"/>
                <w:b w:val="0"/>
                <w:i w:val="0"/>
                <w:strike w:val="0"/>
                <w:color w:val="000000"/>
                <w:sz w:val="13"/>
                <w:u w:val="none"/>
                <w:vertAlign w:val="baseline"/>
              </w:rPr>
              <w:t>2 396</w:t>
            </w:r>
            <w:bookmarkStart w:id="905" w:name="XBRL_CE_c7b4bdf64dcd40038cf35c488d493de2"/>
            <w:bookmarkEnd w:id="904"/>
            <w:bookmarkEnd w:id="905"/>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06" w:name="XBRL_CS_fb7b7fa21831404aa559f82fed076fa1"/>
            <w:bookmarkEnd w:id="906"/>
            <w:bookmarkStart w:id="907" w:name="fb7b7fa21831404aa559f82fed076fa1"/>
            <w:r>
              <w:rPr>
                <w:rFonts w:ascii="Arial" w:eastAsia="Arial" w:hAnsi="Arial" w:cs="Arial"/>
                <w:b w:val="0"/>
                <w:i w:val="0"/>
                <w:strike w:val="0"/>
                <w:color w:val="000000"/>
                <w:sz w:val="13"/>
                <w:u w:val="none"/>
                <w:vertAlign w:val="baseline"/>
              </w:rPr>
              <w:t>14</w:t>
            </w:r>
            <w:bookmarkStart w:id="908" w:name="XBRL_CE_fb7b7fa21831404aa559f82fed076fa1"/>
            <w:bookmarkEnd w:id="907"/>
            <w:bookmarkEnd w:id="908"/>
          </w:p>
        </w:tc>
        <w:tc>
          <w:tcPr>
            <w:tcW w:w="105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bookmarkStart w:id="909" w:name="XBRL_CS_3a9792f42cbf44018a858cb8e357bf4f"/>
            <w:bookmarkEnd w:id="909"/>
            <w:bookmarkStart w:id="910" w:name="3a9792f42cbf44018a858cb8e357bf4f"/>
            <w:r>
              <w:rPr>
                <w:rFonts w:ascii="Arial" w:eastAsia="Arial" w:hAnsi="Arial" w:cs="Arial"/>
                <w:b w:val="0"/>
                <w:i w:val="0"/>
                <w:strike w:val="0"/>
                <w:color w:val="000000"/>
                <w:sz w:val="13"/>
                <w:u w:val="none"/>
                <w:vertAlign w:val="baseline"/>
              </w:rPr>
              <w:t>2 410</w:t>
            </w:r>
            <w:bookmarkStart w:id="911" w:name="XBRL_CE_3a9792f42cbf44018a858cb8e357bf4f"/>
            <w:bookmarkEnd w:id="910"/>
            <w:bookmarkEnd w:id="911"/>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single" w:sz="8" w:space="0" w:color="0F172B"/>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Frutiger 45 Light" w:eastAsia="Frutiger 45 Light" w:hAnsi="Frutiger 45 Light" w:cs="Frutiger 45 Light"/>
                <w:b w:val="0"/>
                <w:i w:val="0"/>
                <w:strike w:val="0"/>
                <w:color w:val="000000"/>
                <w:sz w:val="16"/>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8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FFFFFF"/>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350" w:type="dxa"/>
            <w:gridSpan w:val="7"/>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Emoyhtiön omistajille kuuluva oma pääoma</w:t>
            </w:r>
          </w:p>
        </w:tc>
        <w:tc>
          <w:tcPr>
            <w:tcW w:w="105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Määräys-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vallatto-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mien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omistajien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osuus</w:t>
            </w:r>
          </w:p>
        </w:tc>
        <w:tc>
          <w:tcPr>
            <w:tcW w:w="105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Oma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pääoma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50"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Osake-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pääoma</w:t>
            </w:r>
          </w:p>
        </w:tc>
        <w:tc>
          <w:tcPr>
            <w:tcW w:w="1050"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Ylikurssi-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rahasto</w:t>
            </w:r>
          </w:p>
        </w:tc>
        <w:tc>
          <w:tcPr>
            <w:tcW w:w="1050"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Muunto-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erot</w:t>
            </w:r>
          </w:p>
        </w:tc>
        <w:tc>
          <w:tcPr>
            <w:tcW w:w="1050"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muutos-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rahasto</w:t>
            </w:r>
          </w:p>
        </w:tc>
        <w:tc>
          <w:tcPr>
            <w:tcW w:w="1050"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Etuus-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pohjaisen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nettovelan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uudelleen-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määrittämi-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sestä joh-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tuvat erät</w:t>
            </w:r>
          </w:p>
        </w:tc>
        <w:tc>
          <w:tcPr>
            <w:tcW w:w="1050"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neet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voitto-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varat</w:t>
            </w:r>
          </w:p>
        </w:tc>
        <w:tc>
          <w:tcPr>
            <w:tcW w:w="1050"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50" w:type="dxa"/>
            <w:tcBorders>
              <w:top w:val="single" w:sz="8" w:space="0" w:color="0F172B"/>
              <w:left w:val="nil"/>
              <w:bottom w:val="single" w:sz="8" w:space="0" w:color="0F172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 1.1.2020</w:t>
            </w:r>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12" w:name="XBRL_CS_ef3d0e4ad41b4f9c8b0d280e8a21d582"/>
            <w:bookmarkEnd w:id="912"/>
            <w:bookmarkStart w:id="913" w:name="ef3d0e4ad41b4f9c8b0d280e8a21d582"/>
            <w:r>
              <w:rPr>
                <w:rFonts w:ascii="Arial" w:eastAsia="Arial" w:hAnsi="Arial" w:cs="Arial"/>
                <w:b/>
                <w:i w:val="0"/>
                <w:strike w:val="0"/>
                <w:color w:val="000000"/>
                <w:sz w:val="13"/>
                <w:u w:val="none"/>
                <w:vertAlign w:val="baseline"/>
              </w:rPr>
              <w:t>336</w:t>
            </w:r>
            <w:bookmarkStart w:id="914" w:name="XBRL_CE_ef3d0e4ad41b4f9c8b0d280e8a21d582"/>
            <w:bookmarkEnd w:id="913"/>
            <w:bookmarkEnd w:id="914"/>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15" w:name="XBRL_CS_a4f30328f6784882ad48ef6e8b80f23b"/>
            <w:bookmarkEnd w:id="915"/>
            <w:bookmarkStart w:id="916" w:name="a4f30328f6784882ad48ef6e8b80f23b"/>
            <w:r>
              <w:rPr>
                <w:rFonts w:ascii="Arial" w:eastAsia="Arial" w:hAnsi="Arial" w:cs="Arial"/>
                <w:b/>
                <w:i w:val="0"/>
                <w:strike w:val="0"/>
                <w:color w:val="000000"/>
                <w:sz w:val="13"/>
                <w:u w:val="none"/>
                <w:vertAlign w:val="baseline"/>
              </w:rPr>
              <w:t>61</w:t>
            </w:r>
            <w:bookmarkStart w:id="917" w:name="XBRL_CE_a4f30328f6784882ad48ef6e8b80f23b"/>
            <w:bookmarkEnd w:id="916"/>
            <w:bookmarkEnd w:id="917"/>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18" w:name="XBRL_CS_5dd119ddffdc42f4b66bef09d220cf27"/>
            <w:bookmarkEnd w:id="918"/>
            <w:bookmarkStart w:id="919" w:name="5dd119ddffdc42f4b66bef09d220cf27"/>
            <w:r>
              <w:rPr>
                <w:rFonts w:ascii="Arial" w:eastAsia="Arial" w:hAnsi="Arial" w:cs="Arial"/>
                <w:b/>
                <w:i w:val="0"/>
                <w:strike w:val="0"/>
                <w:color w:val="000000"/>
                <w:sz w:val="13"/>
                <w:u w:val="none"/>
                <w:vertAlign w:val="baseline"/>
              </w:rPr>
              <w:t>-114</w:t>
            </w:r>
            <w:bookmarkStart w:id="920" w:name="XBRL_CE_5dd119ddffdc42f4b66bef09d220cf27"/>
            <w:bookmarkEnd w:id="919"/>
            <w:bookmarkEnd w:id="920"/>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21" w:name="XBRL_CS_fe55c8e8b2114b3794d940568ed01739"/>
            <w:bookmarkEnd w:id="921"/>
            <w:bookmarkStart w:id="922" w:name="fe55c8e8b2114b3794d940568ed01739"/>
            <w:r>
              <w:rPr>
                <w:rFonts w:ascii="Arial" w:eastAsia="Arial" w:hAnsi="Arial" w:cs="Arial"/>
                <w:b/>
                <w:i w:val="0"/>
                <w:strike w:val="0"/>
                <w:color w:val="000000"/>
                <w:sz w:val="13"/>
                <w:u w:val="none"/>
                <w:vertAlign w:val="baseline"/>
              </w:rPr>
              <w:t>-11</w:t>
            </w:r>
            <w:bookmarkStart w:id="923" w:name="XBRL_CE_fe55c8e8b2114b3794d940568ed01739"/>
            <w:bookmarkEnd w:id="922"/>
            <w:bookmarkEnd w:id="923"/>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24" w:name="XBRL_CS_723a7a4d1c574a12b38c35e3d95fcd96"/>
            <w:bookmarkEnd w:id="924"/>
            <w:bookmarkStart w:id="925" w:name="723a7a4d1c574a12b38c35e3d95fcd96"/>
            <w:r>
              <w:rPr>
                <w:rFonts w:ascii="Arial" w:eastAsia="Arial" w:hAnsi="Arial" w:cs="Arial"/>
                <w:b/>
                <w:i w:val="0"/>
                <w:strike w:val="0"/>
                <w:color w:val="000000"/>
                <w:sz w:val="13"/>
                <w:u w:val="none"/>
                <w:vertAlign w:val="baseline"/>
              </w:rPr>
              <w:t>-55</w:t>
            </w:r>
            <w:bookmarkStart w:id="926" w:name="XBRL_CE_723a7a4d1c574a12b38c35e3d95fcd96"/>
            <w:bookmarkEnd w:id="925"/>
            <w:bookmarkEnd w:id="926"/>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27" w:name="XBRL_CS_9240134d741744cdb14790190e05dcc1"/>
            <w:bookmarkEnd w:id="927"/>
            <w:bookmarkStart w:id="928" w:name="9240134d741744cdb14790190e05dcc1"/>
            <w:r>
              <w:rPr>
                <w:rFonts w:ascii="Arial" w:eastAsia="Arial" w:hAnsi="Arial" w:cs="Arial"/>
                <w:b/>
                <w:i w:val="0"/>
                <w:strike w:val="0"/>
                <w:color w:val="000000"/>
                <w:sz w:val="13"/>
                <w:u w:val="none"/>
                <w:vertAlign w:val="baseline"/>
              </w:rPr>
              <w:t>2 178</w:t>
            </w:r>
            <w:bookmarkStart w:id="929" w:name="XBRL_CE_9240134d741744cdb14790190e05dcc1"/>
            <w:bookmarkEnd w:id="928"/>
            <w:bookmarkEnd w:id="929"/>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30" w:name="XBRL_CS_8649ddab17c3478eb878999568c44b58"/>
            <w:bookmarkEnd w:id="930"/>
            <w:bookmarkStart w:id="931" w:name="8649ddab17c3478eb878999568c44b58"/>
            <w:r>
              <w:rPr>
                <w:rFonts w:ascii="Arial" w:eastAsia="Arial" w:hAnsi="Arial" w:cs="Arial"/>
                <w:b/>
                <w:i w:val="0"/>
                <w:strike w:val="0"/>
                <w:color w:val="000000"/>
                <w:sz w:val="13"/>
                <w:u w:val="none"/>
                <w:vertAlign w:val="baseline"/>
              </w:rPr>
              <w:t>2 396</w:t>
            </w:r>
            <w:bookmarkStart w:id="932" w:name="XBRL_CE_8649ddab17c3478eb878999568c44b58"/>
            <w:bookmarkEnd w:id="931"/>
            <w:bookmarkEnd w:id="932"/>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33" w:name="XBRL_CS_b8e71c478fae4108ae37c2baa3a8724d"/>
            <w:bookmarkEnd w:id="933"/>
            <w:bookmarkStart w:id="934" w:name="b8e71c478fae4108ae37c2baa3a8724d"/>
            <w:r>
              <w:rPr>
                <w:rFonts w:ascii="Arial" w:eastAsia="Arial" w:hAnsi="Arial" w:cs="Arial"/>
                <w:b/>
                <w:i w:val="0"/>
                <w:strike w:val="0"/>
                <w:color w:val="000000"/>
                <w:sz w:val="13"/>
                <w:u w:val="none"/>
                <w:vertAlign w:val="baseline"/>
              </w:rPr>
              <w:t>14</w:t>
            </w:r>
            <w:bookmarkStart w:id="935" w:name="XBRL_CE_b8e71c478fae4108ae37c2baa3a8724d"/>
            <w:bookmarkEnd w:id="934"/>
            <w:bookmarkEnd w:id="935"/>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36" w:name="XBRL_CS_c55afa5c9b86450287723986d530235d"/>
            <w:bookmarkEnd w:id="936"/>
            <w:bookmarkStart w:id="937" w:name="c55afa5c9b86450287723986d530235d"/>
            <w:r>
              <w:rPr>
                <w:rFonts w:ascii="Arial" w:eastAsia="Arial" w:hAnsi="Arial" w:cs="Arial"/>
                <w:b/>
                <w:i w:val="0"/>
                <w:strike w:val="0"/>
                <w:color w:val="000000"/>
                <w:sz w:val="13"/>
                <w:u w:val="none"/>
                <w:vertAlign w:val="baseline"/>
              </w:rPr>
              <w:t>2 410</w:t>
            </w:r>
            <w:bookmarkStart w:id="938" w:name="XBRL_CE_c55afa5c9b86450287723986d530235d"/>
            <w:bookmarkEnd w:id="937"/>
            <w:bookmarkEnd w:id="938"/>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Muuntoerot</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39" w:name="XBRL_CS_3d76ee263a0d4138be597d6523934903"/>
            <w:bookmarkEnd w:id="939"/>
            <w:bookmarkStart w:id="940" w:name="3d76ee263a0d4138be597d6523934903"/>
            <w:r>
              <w:rPr>
                <w:rFonts w:ascii="Arial" w:eastAsia="Arial" w:hAnsi="Arial" w:cs="Arial"/>
                <w:b/>
                <w:i w:val="0"/>
                <w:strike w:val="0"/>
                <w:color w:val="000000"/>
                <w:sz w:val="13"/>
                <w:u w:val="none"/>
                <w:vertAlign w:val="baseline"/>
              </w:rPr>
              <w:t>-76</w:t>
            </w:r>
            <w:bookmarkStart w:id="941" w:name="XBRL_CE_3d76ee263a0d4138be597d6523934903"/>
            <w:bookmarkEnd w:id="940"/>
            <w:bookmarkEnd w:id="941"/>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42" w:name="XBRL_CS_901a8fcd451f4b65ada44ac9eb564874"/>
            <w:bookmarkEnd w:id="942"/>
            <w:bookmarkStart w:id="943" w:name="901a8fcd451f4b65ada44ac9eb564874"/>
            <w:r>
              <w:rPr>
                <w:rFonts w:ascii="Arial" w:eastAsia="Arial" w:hAnsi="Arial" w:cs="Arial"/>
                <w:b/>
                <w:i w:val="0"/>
                <w:strike w:val="0"/>
                <w:color w:val="000000"/>
                <w:sz w:val="13"/>
                <w:u w:val="none"/>
                <w:vertAlign w:val="baseline"/>
              </w:rPr>
              <w:t>-76</w:t>
            </w:r>
            <w:bookmarkStart w:id="944" w:name="XBRL_CE_901a8fcd451f4b65ada44ac9eb564874"/>
            <w:bookmarkEnd w:id="943"/>
            <w:bookmarkEnd w:id="944"/>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45" w:name="XBRL_CS_1f45cda8c7ab4059bd6b6e8e3fca4372"/>
            <w:bookmarkEnd w:id="945"/>
            <w:bookmarkStart w:id="946" w:name="1f45cda8c7ab4059bd6b6e8e3fca4372"/>
            <w:r>
              <w:rPr>
                <w:rFonts w:ascii="Arial" w:eastAsia="Arial" w:hAnsi="Arial" w:cs="Arial"/>
                <w:b/>
                <w:i w:val="0"/>
                <w:strike w:val="0"/>
                <w:color w:val="000000"/>
                <w:sz w:val="13"/>
                <w:u w:val="none"/>
                <w:vertAlign w:val="baseline"/>
              </w:rPr>
              <w:t>-1</w:t>
            </w:r>
            <w:bookmarkStart w:id="947" w:name="XBRL_CE_1f45cda8c7ab4059bd6b6e8e3fca4372"/>
            <w:bookmarkEnd w:id="946"/>
            <w:bookmarkEnd w:id="947"/>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48" w:name="XBRL_CS_25ef701379ab46299f3b215345de9a49"/>
            <w:bookmarkEnd w:id="948"/>
            <w:bookmarkStart w:id="949" w:name="25ef701379ab46299f3b215345de9a49"/>
            <w:r>
              <w:rPr>
                <w:rFonts w:ascii="Arial" w:eastAsia="Arial" w:hAnsi="Arial" w:cs="Arial"/>
                <w:b/>
                <w:i w:val="0"/>
                <w:strike w:val="0"/>
                <w:color w:val="000000"/>
                <w:sz w:val="13"/>
                <w:u w:val="none"/>
                <w:vertAlign w:val="baseline"/>
              </w:rPr>
              <w:t>-77</w:t>
            </w:r>
            <w:bookmarkStart w:id="950" w:name="XBRL_CE_25ef701379ab46299f3b215345de9a49"/>
            <w:bookmarkEnd w:id="949"/>
            <w:bookmarkEnd w:id="950"/>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Muuntoerot, siirretty tulolaskelmaan</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51" w:name="XBRL_CS_9de0adcbcb2c416fa4ed5d19754dbef0"/>
            <w:bookmarkEnd w:id="951"/>
            <w:bookmarkStart w:id="952" w:name="9de0adcbcb2c416fa4ed5d19754dbef0"/>
            <w:r>
              <w:rPr>
                <w:rFonts w:ascii="Arial" w:eastAsia="Arial" w:hAnsi="Arial" w:cs="Arial"/>
                <w:b/>
                <w:i w:val="0"/>
                <w:strike w:val="0"/>
                <w:color w:val="000000"/>
                <w:sz w:val="13"/>
                <w:u w:val="none"/>
                <w:vertAlign w:val="baseline"/>
              </w:rPr>
              <w:t>-6</w:t>
            </w:r>
            <w:bookmarkStart w:id="953" w:name="XBRL_CE_9de0adcbcb2c416fa4ed5d19754dbef0"/>
            <w:bookmarkEnd w:id="952"/>
            <w:bookmarkEnd w:id="953"/>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54" w:name="XBRL_CS_00a5390f1e1d41ea8a9e0a7abfbd7c5d"/>
            <w:bookmarkEnd w:id="954"/>
            <w:bookmarkStart w:id="955" w:name="00a5390f1e1d41ea8a9e0a7abfbd7c5d"/>
            <w:r>
              <w:rPr>
                <w:rFonts w:ascii="Arial" w:eastAsia="Arial" w:hAnsi="Arial" w:cs="Arial"/>
                <w:b/>
                <w:i w:val="0"/>
                <w:strike w:val="0"/>
                <w:color w:val="000000"/>
                <w:sz w:val="13"/>
                <w:u w:val="none"/>
                <w:vertAlign w:val="baseline"/>
              </w:rPr>
              <w:t>-6</w:t>
            </w:r>
            <w:bookmarkStart w:id="956" w:name="XBRL_CE_00a5390f1e1d41ea8a9e0a7abfbd7c5d"/>
            <w:bookmarkEnd w:id="955"/>
            <w:bookmarkEnd w:id="956"/>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57" w:name="XBRL_CS_89eb1cb81fff4345a97a15763a365918"/>
            <w:bookmarkEnd w:id="957"/>
            <w:bookmarkStart w:id="958" w:name="89eb1cb81fff4345a97a15763a365918"/>
            <w:r>
              <w:rPr>
                <w:rFonts w:ascii="Arial" w:eastAsia="Arial" w:hAnsi="Arial" w:cs="Arial"/>
                <w:b/>
                <w:i w:val="0"/>
                <w:strike w:val="0"/>
                <w:color w:val="000000"/>
                <w:sz w:val="13"/>
                <w:u w:val="none"/>
                <w:vertAlign w:val="baseline"/>
              </w:rPr>
              <w:t>-6</w:t>
            </w:r>
            <w:bookmarkStart w:id="959" w:name="XBRL_CE_89eb1cb81fff4345a97a15763a365918"/>
            <w:bookmarkEnd w:id="958"/>
            <w:bookmarkEnd w:id="959"/>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Rahavirran suojaukset</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käyvän arvon nettomuutos verojen jälkeen</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60" w:name="XBRL_CS_335baae6d453451785a307cf6fb0a41d"/>
            <w:bookmarkEnd w:id="960"/>
            <w:bookmarkStart w:id="961" w:name="335baae6d453451785a307cf6fb0a41d"/>
            <w:r>
              <w:rPr>
                <w:rFonts w:ascii="Arial" w:eastAsia="Arial" w:hAnsi="Arial" w:cs="Arial"/>
                <w:b/>
                <w:i w:val="0"/>
                <w:strike w:val="0"/>
                <w:color w:val="000000"/>
                <w:sz w:val="13"/>
                <w:u w:val="none"/>
                <w:vertAlign w:val="baseline"/>
              </w:rPr>
              <w:t>-3</w:t>
            </w:r>
            <w:bookmarkStart w:id="962" w:name="XBRL_CE_335baae6d453451785a307cf6fb0a41d"/>
            <w:bookmarkEnd w:id="961"/>
            <w:bookmarkEnd w:id="962"/>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63" w:name="XBRL_CS_b1e05e70ff654fa3bd5ecd3d2aea3a5b"/>
            <w:bookmarkEnd w:id="963"/>
            <w:bookmarkStart w:id="964" w:name="b1e05e70ff654fa3bd5ecd3d2aea3a5b"/>
            <w:r>
              <w:rPr>
                <w:rFonts w:ascii="Arial" w:eastAsia="Arial" w:hAnsi="Arial" w:cs="Arial"/>
                <w:b/>
                <w:i w:val="0"/>
                <w:strike w:val="0"/>
                <w:color w:val="000000"/>
                <w:sz w:val="13"/>
                <w:u w:val="none"/>
                <w:vertAlign w:val="baseline"/>
              </w:rPr>
              <w:t>-3</w:t>
            </w:r>
            <w:bookmarkStart w:id="965" w:name="XBRL_CE_b1e05e70ff654fa3bd5ecd3d2aea3a5b"/>
            <w:bookmarkEnd w:id="964"/>
            <w:bookmarkEnd w:id="965"/>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66" w:name="XBRL_CS_83c37cca77c34a38a5dade1dbb6f5770"/>
            <w:bookmarkEnd w:id="966"/>
            <w:bookmarkStart w:id="967" w:name="83c37cca77c34a38a5dade1dbb6f5770"/>
            <w:r>
              <w:rPr>
                <w:rFonts w:ascii="Arial" w:eastAsia="Arial" w:hAnsi="Arial" w:cs="Arial"/>
                <w:b/>
                <w:i w:val="0"/>
                <w:strike w:val="0"/>
                <w:color w:val="000000"/>
                <w:sz w:val="13"/>
                <w:u w:val="none"/>
                <w:vertAlign w:val="baseline"/>
              </w:rPr>
              <w:t>-3</w:t>
            </w:r>
            <w:bookmarkStart w:id="968" w:name="XBRL_CE_83c37cca77c34a38a5dade1dbb6f5770"/>
            <w:bookmarkEnd w:id="967"/>
            <w:bookmarkEnd w:id="968"/>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175"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siirretty tuloslaskelmaan, veroilla vähennettynä</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69" w:name="XBRL_CS_e96387257a274b3b869c16c5cd5d27a0"/>
            <w:bookmarkEnd w:id="969"/>
            <w:bookmarkStart w:id="970" w:name="e96387257a274b3b869c16c5cd5d27a0"/>
            <w:r>
              <w:rPr>
                <w:rFonts w:ascii="Arial" w:eastAsia="Arial" w:hAnsi="Arial" w:cs="Arial"/>
                <w:b/>
                <w:i w:val="0"/>
                <w:strike w:val="0"/>
                <w:color w:val="000000"/>
                <w:sz w:val="13"/>
                <w:u w:val="none"/>
                <w:vertAlign w:val="baseline"/>
              </w:rPr>
              <w:t>5</w:t>
            </w:r>
            <w:bookmarkStart w:id="971" w:name="XBRL_CE_e96387257a274b3b869c16c5cd5d27a0"/>
            <w:bookmarkEnd w:id="970"/>
            <w:bookmarkEnd w:id="971"/>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72" w:name="XBRL_CS_8b577153b5e4424ca28c3c7389049a8c"/>
            <w:bookmarkEnd w:id="972"/>
            <w:bookmarkStart w:id="973" w:name="8b577153b5e4424ca28c3c7389049a8c"/>
            <w:bookmarkStart w:id="974" w:name="XBRL_CS_80e68fff7c4642a6982dc75fb6d37c21"/>
            <w:bookmarkEnd w:id="974"/>
            <w:bookmarkStart w:id="975" w:name="80e68fff7c4642a6982dc75fb6d37c21"/>
            <w:r>
              <w:rPr>
                <w:rFonts w:ascii="Arial" w:eastAsia="Arial" w:hAnsi="Arial" w:cs="Arial"/>
                <w:b/>
                <w:i w:val="0"/>
                <w:strike w:val="0"/>
                <w:color w:val="000000"/>
                <w:sz w:val="13"/>
                <w:u w:val="none"/>
                <w:vertAlign w:val="baseline"/>
              </w:rPr>
              <w:t>5</w:t>
            </w:r>
            <w:bookmarkStart w:id="976" w:name="XBRL_CE_80e68fff7c4642a6982dc75fb6d37c21"/>
            <w:bookmarkEnd w:id="975"/>
            <w:bookmarkEnd w:id="976"/>
            <w:bookmarkStart w:id="977" w:name="XBRL_CE_8b577153b5e4424ca28c3c7389049a8c"/>
            <w:bookmarkEnd w:id="973"/>
            <w:bookmarkEnd w:id="977"/>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78" w:name="XBRL_CS_bdc586be78b64cddafe3fb892e176c1f"/>
            <w:bookmarkEnd w:id="978"/>
            <w:bookmarkStart w:id="979" w:name="bdc586be78b64cddafe3fb892e176c1f"/>
            <w:r>
              <w:rPr>
                <w:rFonts w:ascii="Arial" w:eastAsia="Arial" w:hAnsi="Arial" w:cs="Arial"/>
                <w:b/>
                <w:i w:val="0"/>
                <w:strike w:val="0"/>
                <w:color w:val="000000"/>
                <w:sz w:val="13"/>
                <w:u w:val="none"/>
                <w:vertAlign w:val="baseline"/>
              </w:rPr>
              <w:t>5</w:t>
            </w:r>
            <w:bookmarkStart w:id="980" w:name="XBRL_CE_bdc586be78b64cddafe3fb892e176c1f"/>
            <w:bookmarkEnd w:id="979"/>
            <w:bookmarkEnd w:id="980"/>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Etuuspohjaiset eläkejärjestelyt</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81" w:name="XBRL_CS_cff42e442eac4f04a3011333560ae04e"/>
            <w:bookmarkEnd w:id="981"/>
            <w:bookmarkStart w:id="982" w:name="cff42e442eac4f04a3011333560ae04e"/>
            <w:r>
              <w:rPr>
                <w:rFonts w:ascii="Arial" w:eastAsia="Arial" w:hAnsi="Arial" w:cs="Arial"/>
                <w:b/>
                <w:i w:val="0"/>
                <w:strike w:val="0"/>
                <w:color w:val="000000"/>
                <w:sz w:val="13"/>
                <w:u w:val="none"/>
                <w:vertAlign w:val="baseline"/>
              </w:rPr>
              <w:t>5</w:t>
            </w:r>
            <w:bookmarkStart w:id="983" w:name="XBRL_CE_cff42e442eac4f04a3011333560ae04e"/>
            <w:bookmarkEnd w:id="982"/>
            <w:bookmarkEnd w:id="983"/>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84" w:name="XBRL_CS_39d6470856e848b48873da0923e5f35b"/>
            <w:bookmarkEnd w:id="984"/>
            <w:bookmarkStart w:id="985" w:name="39d6470856e848b48873da0923e5f35b"/>
            <w:r>
              <w:rPr>
                <w:rFonts w:ascii="Arial" w:eastAsia="Arial" w:hAnsi="Arial" w:cs="Arial"/>
                <w:b/>
                <w:i w:val="0"/>
                <w:strike w:val="0"/>
                <w:color w:val="000000"/>
                <w:sz w:val="13"/>
                <w:u w:val="none"/>
                <w:vertAlign w:val="baseline"/>
              </w:rPr>
              <w:t>5</w:t>
            </w:r>
            <w:bookmarkStart w:id="986" w:name="XBRL_CE_39d6470856e848b48873da0923e5f35b"/>
            <w:bookmarkEnd w:id="985"/>
            <w:bookmarkEnd w:id="986"/>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87" w:name="XBRL_CS_bd05cd8a77014822a2456387cac5a032"/>
            <w:bookmarkEnd w:id="987"/>
            <w:bookmarkStart w:id="988" w:name="bd05cd8a77014822a2456387cac5a032"/>
            <w:r>
              <w:rPr>
                <w:rFonts w:ascii="Arial" w:eastAsia="Arial" w:hAnsi="Arial" w:cs="Arial"/>
                <w:b/>
                <w:i w:val="0"/>
                <w:strike w:val="0"/>
                <w:color w:val="000000"/>
                <w:sz w:val="13"/>
                <w:u w:val="none"/>
                <w:vertAlign w:val="baseline"/>
              </w:rPr>
              <w:t>5</w:t>
            </w:r>
            <w:bookmarkStart w:id="989" w:name="XBRL_CE_bd05cd8a77014822a2456387cac5a032"/>
            <w:bookmarkEnd w:id="988"/>
            <w:bookmarkEnd w:id="989"/>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muutokset</w:t>
            </w: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90" w:name="XBRL_CS_285436fe9e534019bb3a20b04add0bfb"/>
            <w:bookmarkEnd w:id="990"/>
            <w:bookmarkStart w:id="991" w:name="285436fe9e534019bb3a20b04add0bfb"/>
            <w:r>
              <w:rPr>
                <w:rFonts w:ascii="Arial" w:eastAsia="Arial" w:hAnsi="Arial" w:cs="Arial"/>
                <w:b/>
                <w:i w:val="0"/>
                <w:strike w:val="0"/>
                <w:color w:val="000000"/>
                <w:sz w:val="13"/>
                <w:u w:val="none"/>
                <w:vertAlign w:val="baseline"/>
              </w:rPr>
              <w:t>5</w:t>
            </w:r>
            <w:bookmarkStart w:id="992" w:name="XBRL_CE_285436fe9e534019bb3a20b04add0bfb"/>
            <w:bookmarkEnd w:id="991"/>
            <w:bookmarkEnd w:id="992"/>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93" w:name="XBRL_CS_5fdcb3f67b984eaca3c29c11b7b21edd"/>
            <w:bookmarkEnd w:id="993"/>
            <w:bookmarkStart w:id="994" w:name="5fdcb3f67b984eaca3c29c11b7b21edd"/>
            <w:r>
              <w:rPr>
                <w:rFonts w:ascii="Arial" w:eastAsia="Arial" w:hAnsi="Arial" w:cs="Arial"/>
                <w:b/>
                <w:i w:val="0"/>
                <w:strike w:val="0"/>
                <w:color w:val="000000"/>
                <w:sz w:val="13"/>
                <w:u w:val="none"/>
                <w:vertAlign w:val="baseline"/>
              </w:rPr>
              <w:t>-5</w:t>
            </w:r>
            <w:bookmarkStart w:id="995" w:name="XBRL_CE_5fdcb3f67b984eaca3c29c11b7b21edd"/>
            <w:bookmarkEnd w:id="994"/>
            <w:bookmarkEnd w:id="995"/>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Laajan tuloksen erät</w:t>
            </w: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96" w:name="XBRL_CS_5634e8d34cab48d7b7cd14689e0035a1"/>
            <w:bookmarkEnd w:id="996"/>
            <w:bookmarkStart w:id="997" w:name="5634e8d34cab48d7b7cd14689e0035a1"/>
            <w:r>
              <w:rPr>
                <w:rFonts w:ascii="Arial" w:eastAsia="Arial" w:hAnsi="Arial" w:cs="Arial"/>
                <w:b/>
                <w:i w:val="0"/>
                <w:strike w:val="0"/>
                <w:color w:val="000000"/>
                <w:sz w:val="13"/>
                <w:u w:val="none"/>
                <w:vertAlign w:val="baseline"/>
              </w:rPr>
              <w:t>-82</w:t>
            </w:r>
            <w:bookmarkStart w:id="998" w:name="XBRL_CE_5634e8d34cab48d7b7cd14689e0035a1"/>
            <w:bookmarkEnd w:id="997"/>
            <w:bookmarkEnd w:id="998"/>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999" w:name="XBRL_CS_79884c1c95c54ff683145905de77bd07"/>
            <w:bookmarkEnd w:id="999"/>
            <w:bookmarkStart w:id="1000" w:name="79884c1c95c54ff683145905de77bd07"/>
            <w:r>
              <w:rPr>
                <w:rFonts w:ascii="Arial" w:eastAsia="Arial" w:hAnsi="Arial" w:cs="Arial"/>
                <w:b/>
                <w:i w:val="0"/>
                <w:strike w:val="0"/>
                <w:color w:val="000000"/>
                <w:sz w:val="13"/>
                <w:u w:val="none"/>
                <w:vertAlign w:val="baseline"/>
              </w:rPr>
              <w:t>2</w:t>
            </w:r>
            <w:bookmarkStart w:id="1001" w:name="XBRL_CE_79884c1c95c54ff683145905de77bd07"/>
            <w:bookmarkEnd w:id="1000"/>
            <w:bookmarkEnd w:id="1001"/>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02" w:name="XBRL_CS_bdafaf1cdc9a4057bbf5c8fc4b72a3b8"/>
            <w:bookmarkEnd w:id="1002"/>
            <w:bookmarkStart w:id="1003" w:name="bdafaf1cdc9a4057bbf5c8fc4b72a3b8"/>
            <w:r>
              <w:rPr>
                <w:rFonts w:ascii="Arial" w:eastAsia="Arial" w:hAnsi="Arial" w:cs="Arial"/>
                <w:b/>
                <w:i w:val="0"/>
                <w:strike w:val="0"/>
                <w:color w:val="000000"/>
                <w:sz w:val="13"/>
                <w:u w:val="none"/>
                <w:vertAlign w:val="baseline"/>
              </w:rPr>
              <w:t>10</w:t>
            </w:r>
            <w:bookmarkStart w:id="1004" w:name="XBRL_CE_bdafaf1cdc9a4057bbf5c8fc4b72a3b8"/>
            <w:bookmarkEnd w:id="1003"/>
            <w:bookmarkEnd w:id="1004"/>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05" w:name="XBRL_CS_fa7a29b3bd3f46f69727a6627851e46d"/>
            <w:bookmarkEnd w:id="1005"/>
            <w:bookmarkStart w:id="1006" w:name="fa7a29b3bd3f46f69727a6627851e46d"/>
            <w:r>
              <w:rPr>
                <w:rFonts w:ascii="Arial" w:eastAsia="Arial" w:hAnsi="Arial" w:cs="Arial"/>
                <w:b/>
                <w:i w:val="0"/>
                <w:strike w:val="0"/>
                <w:color w:val="000000"/>
                <w:sz w:val="13"/>
                <w:u w:val="none"/>
                <w:vertAlign w:val="baseline"/>
              </w:rPr>
              <w:t>-5</w:t>
            </w:r>
            <w:bookmarkStart w:id="1007" w:name="XBRL_CE_fa7a29b3bd3f46f69727a6627851e46d"/>
            <w:bookmarkEnd w:id="1006"/>
            <w:bookmarkEnd w:id="1007"/>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08" w:name="XBRL_CS_db0a7f114e9547a68ec7393522b5b4d8"/>
            <w:bookmarkEnd w:id="1008"/>
            <w:bookmarkStart w:id="1009" w:name="db0a7f114e9547a68ec7393522b5b4d8"/>
            <w:r>
              <w:rPr>
                <w:rFonts w:ascii="Arial" w:eastAsia="Arial" w:hAnsi="Arial" w:cs="Arial"/>
                <w:b/>
                <w:i w:val="0"/>
                <w:strike w:val="0"/>
                <w:color w:val="000000"/>
                <w:sz w:val="13"/>
                <w:u w:val="none"/>
                <w:vertAlign w:val="baseline"/>
              </w:rPr>
              <w:t>-75</w:t>
            </w:r>
            <w:bookmarkStart w:id="1010" w:name="XBRL_CE_db0a7f114e9547a68ec7393522b5b4d8"/>
            <w:bookmarkEnd w:id="1009"/>
            <w:bookmarkEnd w:id="1010"/>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11" w:name="XBRL_CS_e62fab6da8c14ce2804119ecf0bfdd5b"/>
            <w:bookmarkEnd w:id="1011"/>
            <w:bookmarkStart w:id="1012" w:name="e62fab6da8c14ce2804119ecf0bfdd5b"/>
            <w:r>
              <w:rPr>
                <w:rFonts w:ascii="Arial" w:eastAsia="Arial" w:hAnsi="Arial" w:cs="Arial"/>
                <w:b/>
                <w:i w:val="0"/>
                <w:strike w:val="0"/>
                <w:color w:val="000000"/>
                <w:sz w:val="13"/>
                <w:u w:val="none"/>
                <w:vertAlign w:val="baseline"/>
              </w:rPr>
              <w:t>-1</w:t>
            </w:r>
            <w:bookmarkStart w:id="1013" w:name="XBRL_CE_e62fab6da8c14ce2804119ecf0bfdd5b"/>
            <w:bookmarkEnd w:id="1012"/>
            <w:bookmarkEnd w:id="1013"/>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14" w:name="XBRL_CS_2a7ddd5421944443a8d9fa069dbea485"/>
            <w:bookmarkEnd w:id="1014"/>
            <w:bookmarkStart w:id="1015" w:name="2a7ddd5421944443a8d9fa069dbea485"/>
            <w:r>
              <w:rPr>
                <w:rFonts w:ascii="Arial" w:eastAsia="Arial" w:hAnsi="Arial" w:cs="Arial"/>
                <w:b/>
                <w:i w:val="0"/>
                <w:strike w:val="0"/>
                <w:color w:val="000000"/>
                <w:sz w:val="13"/>
                <w:u w:val="none"/>
                <w:vertAlign w:val="baseline"/>
              </w:rPr>
              <w:t>-76</w:t>
            </w:r>
            <w:bookmarkStart w:id="1016" w:name="XBRL_CE_2a7ddd5421944443a8d9fa069dbea485"/>
            <w:bookmarkEnd w:id="1015"/>
            <w:bookmarkEnd w:id="1016"/>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tulos</w:t>
            </w: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17" w:name="XBRL_CS_3d97c683f899483e9ac6e0b797e71776"/>
            <w:bookmarkEnd w:id="1017"/>
            <w:bookmarkStart w:id="1018" w:name="3d97c683f899483e9ac6e0b797e71776"/>
            <w:r>
              <w:rPr>
                <w:rFonts w:ascii="Arial" w:eastAsia="Arial" w:hAnsi="Arial" w:cs="Arial"/>
                <w:b/>
                <w:i w:val="0"/>
                <w:strike w:val="0"/>
                <w:color w:val="000000"/>
                <w:sz w:val="13"/>
                <w:u w:val="none"/>
                <w:vertAlign w:val="baseline"/>
              </w:rPr>
              <w:t>134</w:t>
            </w:r>
            <w:bookmarkStart w:id="1019" w:name="XBRL_CE_3d97c683f899483e9ac6e0b797e71776"/>
            <w:bookmarkEnd w:id="1018"/>
            <w:bookmarkEnd w:id="1019"/>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20" w:name="XBRL_CS_8982c7d8107941dc8bd3819a41dbe4ad"/>
            <w:bookmarkEnd w:id="1020"/>
            <w:bookmarkStart w:id="1021" w:name="8982c7d8107941dc8bd3819a41dbe4ad"/>
            <w:r>
              <w:rPr>
                <w:rFonts w:ascii="Arial" w:eastAsia="Arial" w:hAnsi="Arial" w:cs="Arial"/>
                <w:b/>
                <w:i w:val="0"/>
                <w:strike w:val="0"/>
                <w:color w:val="000000"/>
                <w:sz w:val="13"/>
                <w:u w:val="none"/>
                <w:vertAlign w:val="baseline"/>
              </w:rPr>
              <w:t>134</w:t>
            </w:r>
            <w:bookmarkStart w:id="1022" w:name="XBRL_CE_8982c7d8107941dc8bd3819a41dbe4ad"/>
            <w:bookmarkEnd w:id="1021"/>
            <w:bookmarkEnd w:id="1022"/>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23" w:name="XBRL_CS_0cf4e1f057114bcfa3d8b60a6f0da123"/>
            <w:bookmarkEnd w:id="1023"/>
            <w:bookmarkStart w:id="1024" w:name="0cf4e1f057114bcfa3d8b60a6f0da123"/>
            <w:r>
              <w:rPr>
                <w:rFonts w:ascii="Arial" w:eastAsia="Arial" w:hAnsi="Arial" w:cs="Arial"/>
                <w:b/>
                <w:i w:val="0"/>
                <w:strike w:val="0"/>
                <w:color w:val="000000"/>
                <w:sz w:val="13"/>
                <w:u w:val="none"/>
                <w:vertAlign w:val="baseline"/>
              </w:rPr>
              <w:t>-1</w:t>
            </w:r>
            <w:bookmarkStart w:id="1025" w:name="XBRL_CE_0cf4e1f057114bcfa3d8b60a6f0da123"/>
            <w:bookmarkEnd w:id="1024"/>
            <w:bookmarkEnd w:id="1025"/>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26" w:name="XBRL_CS_285183ce13784b468f140c6264de7295"/>
            <w:bookmarkEnd w:id="1026"/>
            <w:bookmarkStart w:id="1027" w:name="285183ce13784b468f140c6264de7295"/>
            <w:r>
              <w:rPr>
                <w:rFonts w:ascii="Arial" w:eastAsia="Arial" w:hAnsi="Arial" w:cs="Arial"/>
                <w:b/>
                <w:i w:val="0"/>
                <w:strike w:val="0"/>
                <w:color w:val="000000"/>
                <w:sz w:val="13"/>
                <w:u w:val="none"/>
                <w:vertAlign w:val="baseline"/>
              </w:rPr>
              <w:t>133</w:t>
            </w:r>
            <w:bookmarkStart w:id="1028" w:name="XBRL_CE_285183ce13784b468f140c6264de7295"/>
            <w:bookmarkEnd w:id="1027"/>
            <w:bookmarkEnd w:id="1028"/>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Tilikauden laaja tulos yhteensä</w:t>
            </w: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29" w:name="XBRL_CS_b43e9599ba3d49ea8fa3ca9abe28faa6"/>
            <w:bookmarkEnd w:id="1029"/>
            <w:bookmarkStart w:id="1030" w:name="b43e9599ba3d49ea8fa3ca9abe28faa6"/>
            <w:r>
              <w:rPr>
                <w:rFonts w:ascii="Arial" w:eastAsia="Arial" w:hAnsi="Arial" w:cs="Arial"/>
                <w:b/>
                <w:i w:val="0"/>
                <w:strike w:val="0"/>
                <w:color w:val="000000"/>
                <w:sz w:val="13"/>
                <w:u w:val="none"/>
                <w:vertAlign w:val="baseline"/>
              </w:rPr>
              <w:t>-82</w:t>
            </w:r>
            <w:bookmarkStart w:id="1031" w:name="XBRL_CE_b43e9599ba3d49ea8fa3ca9abe28faa6"/>
            <w:bookmarkEnd w:id="1030"/>
            <w:bookmarkEnd w:id="1031"/>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32" w:name="XBRL_CS_be13d9695d2c414d8e111171296d6e33"/>
            <w:bookmarkEnd w:id="1032"/>
            <w:bookmarkStart w:id="1033" w:name="be13d9695d2c414d8e111171296d6e33"/>
            <w:r>
              <w:rPr>
                <w:rFonts w:ascii="Arial" w:eastAsia="Arial" w:hAnsi="Arial" w:cs="Arial"/>
                <w:b/>
                <w:i w:val="0"/>
                <w:strike w:val="0"/>
                <w:color w:val="000000"/>
                <w:sz w:val="13"/>
                <w:u w:val="none"/>
                <w:vertAlign w:val="baseline"/>
              </w:rPr>
              <w:t>2</w:t>
            </w:r>
            <w:bookmarkStart w:id="1034" w:name="XBRL_CE_be13d9695d2c414d8e111171296d6e33"/>
            <w:bookmarkEnd w:id="1033"/>
            <w:bookmarkEnd w:id="1034"/>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35" w:name="XBRL_CS_f0b8be8347cd4b428d62aa8c5a8b3b69"/>
            <w:bookmarkEnd w:id="1035"/>
            <w:bookmarkStart w:id="1036" w:name="f0b8be8347cd4b428d62aa8c5a8b3b69"/>
            <w:r>
              <w:rPr>
                <w:rFonts w:ascii="Arial" w:eastAsia="Arial" w:hAnsi="Arial" w:cs="Arial"/>
                <w:b/>
                <w:i w:val="0"/>
                <w:strike w:val="0"/>
                <w:color w:val="000000"/>
                <w:sz w:val="13"/>
                <w:u w:val="none"/>
                <w:vertAlign w:val="baseline"/>
              </w:rPr>
              <w:t>10</w:t>
            </w:r>
            <w:bookmarkStart w:id="1037" w:name="XBRL_CE_f0b8be8347cd4b428d62aa8c5a8b3b69"/>
            <w:bookmarkEnd w:id="1036"/>
            <w:bookmarkEnd w:id="1037"/>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38" w:name="XBRL_CS_a45ecfcf348542fdbd25d35d3c44e8d1"/>
            <w:bookmarkEnd w:id="1038"/>
            <w:bookmarkStart w:id="1039" w:name="a45ecfcf348542fdbd25d35d3c44e8d1"/>
            <w:r>
              <w:rPr>
                <w:rFonts w:ascii="Arial" w:eastAsia="Arial" w:hAnsi="Arial" w:cs="Arial"/>
                <w:b/>
                <w:i w:val="0"/>
                <w:strike w:val="0"/>
                <w:color w:val="000000"/>
                <w:sz w:val="13"/>
                <w:u w:val="none"/>
                <w:vertAlign w:val="baseline"/>
              </w:rPr>
              <w:t>129</w:t>
            </w:r>
            <w:bookmarkStart w:id="1040" w:name="XBRL_CE_a45ecfcf348542fdbd25d35d3c44e8d1"/>
            <w:bookmarkEnd w:id="1039"/>
            <w:bookmarkEnd w:id="1040"/>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41" w:name="XBRL_CS_c6873a34aa93445ca0c461bc00bde6e6"/>
            <w:bookmarkEnd w:id="1041"/>
            <w:bookmarkStart w:id="1042" w:name="c6873a34aa93445ca0c461bc00bde6e6"/>
            <w:r>
              <w:rPr>
                <w:rFonts w:ascii="Arial" w:eastAsia="Arial" w:hAnsi="Arial" w:cs="Arial"/>
                <w:b/>
                <w:i w:val="0"/>
                <w:strike w:val="0"/>
                <w:color w:val="000000"/>
                <w:sz w:val="13"/>
                <w:u w:val="none"/>
                <w:vertAlign w:val="baseline"/>
              </w:rPr>
              <w:t>59</w:t>
            </w:r>
            <w:bookmarkStart w:id="1043" w:name="XBRL_CE_c6873a34aa93445ca0c461bc00bde6e6"/>
            <w:bookmarkEnd w:id="1042"/>
            <w:bookmarkEnd w:id="1043"/>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44" w:name="XBRL_CS_0f45c0315c8c40ed9022bb29171bea2b"/>
            <w:bookmarkEnd w:id="1044"/>
            <w:bookmarkStart w:id="1045" w:name="0f45c0315c8c40ed9022bb29171bea2b"/>
            <w:r>
              <w:rPr>
                <w:rFonts w:ascii="Arial" w:eastAsia="Arial" w:hAnsi="Arial" w:cs="Arial"/>
                <w:b/>
                <w:i w:val="0"/>
                <w:strike w:val="0"/>
                <w:color w:val="000000"/>
                <w:sz w:val="13"/>
                <w:u w:val="none"/>
                <w:vertAlign w:val="baseline"/>
              </w:rPr>
              <w:t>-1</w:t>
            </w:r>
            <w:bookmarkStart w:id="1046" w:name="XBRL_CE_0f45c0315c8c40ed9022bb29171bea2b"/>
            <w:bookmarkEnd w:id="1045"/>
            <w:bookmarkEnd w:id="1046"/>
          </w:p>
        </w:tc>
        <w:tc>
          <w:tcPr>
            <w:tcW w:w="105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47" w:name="XBRL_CS_cd652063c34a470889df6198c0a25f99"/>
            <w:bookmarkEnd w:id="1047"/>
            <w:bookmarkStart w:id="1048" w:name="cd652063c34a470889df6198c0a25f99"/>
            <w:r>
              <w:rPr>
                <w:rFonts w:ascii="Arial" w:eastAsia="Arial" w:hAnsi="Arial" w:cs="Arial"/>
                <w:b/>
                <w:i w:val="0"/>
                <w:strike w:val="0"/>
                <w:color w:val="000000"/>
                <w:sz w:val="13"/>
                <w:u w:val="none"/>
                <w:vertAlign w:val="baseline"/>
              </w:rPr>
              <w:t>57</w:t>
            </w:r>
            <w:bookmarkStart w:id="1049" w:name="XBRL_CE_cd652063c34a470889df6198c0a25f99"/>
            <w:bookmarkEnd w:id="1048"/>
            <w:bookmarkEnd w:id="1049"/>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Maksetut osingot</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50" w:name="XBRL_CS_a38273d5b6774546b9aacfe8bda64e99"/>
            <w:bookmarkEnd w:id="1050"/>
            <w:bookmarkStart w:id="1051" w:name="a38273d5b6774546b9aacfe8bda64e99"/>
            <w:r>
              <w:rPr>
                <w:rFonts w:ascii="Arial" w:eastAsia="Arial" w:hAnsi="Arial" w:cs="Arial"/>
                <w:b/>
                <w:i w:val="0"/>
                <w:strike w:val="0"/>
                <w:color w:val="000000"/>
                <w:sz w:val="13"/>
                <w:u w:val="none"/>
                <w:vertAlign w:val="baseline"/>
              </w:rPr>
              <w:t>-284</w:t>
            </w:r>
            <w:bookmarkStart w:id="1052" w:name="XBRL_CE_a38273d5b6774546b9aacfe8bda64e99"/>
            <w:bookmarkEnd w:id="1051"/>
            <w:bookmarkEnd w:id="1052"/>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53" w:name="XBRL_CS_0038e841ca864f29b34fee84d78d5907"/>
            <w:bookmarkEnd w:id="1053"/>
            <w:bookmarkStart w:id="1054" w:name="0038e841ca864f29b34fee84d78d5907"/>
            <w:r>
              <w:rPr>
                <w:rFonts w:ascii="Arial" w:eastAsia="Arial" w:hAnsi="Arial" w:cs="Arial"/>
                <w:b/>
                <w:i w:val="0"/>
                <w:strike w:val="0"/>
                <w:color w:val="000000"/>
                <w:sz w:val="13"/>
                <w:u w:val="none"/>
                <w:vertAlign w:val="baseline"/>
              </w:rPr>
              <w:t>-284</w:t>
            </w:r>
            <w:bookmarkStart w:id="1055" w:name="XBRL_CE_0038e841ca864f29b34fee84d78d5907"/>
            <w:bookmarkEnd w:id="1054"/>
            <w:bookmarkEnd w:id="1055"/>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56" w:name="XBRL_CS_8467774f47af49beadd51b19827853a9"/>
            <w:bookmarkEnd w:id="1056"/>
            <w:bookmarkStart w:id="1057" w:name="8467774f47af49beadd51b19827853a9"/>
            <w:r>
              <w:rPr>
                <w:rFonts w:ascii="Arial" w:eastAsia="Arial" w:hAnsi="Arial" w:cs="Arial"/>
                <w:b/>
                <w:i w:val="0"/>
                <w:strike w:val="0"/>
                <w:color w:val="000000"/>
                <w:sz w:val="13"/>
                <w:u w:val="none"/>
                <w:vertAlign w:val="baseline"/>
              </w:rPr>
              <w:t>-2</w:t>
            </w:r>
            <w:bookmarkStart w:id="1058" w:name="XBRL_CE_8467774f47af49beadd51b19827853a9"/>
            <w:bookmarkEnd w:id="1057"/>
            <w:bookmarkEnd w:id="1058"/>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59" w:name="XBRL_CS_d090879798f74b068f0cba39d4c86c85"/>
            <w:bookmarkEnd w:id="1059"/>
            <w:bookmarkStart w:id="1060" w:name="d090879798f74b068f0cba39d4c86c85"/>
            <w:r>
              <w:rPr>
                <w:rFonts w:ascii="Arial" w:eastAsia="Arial" w:hAnsi="Arial" w:cs="Arial"/>
                <w:b/>
                <w:i w:val="0"/>
                <w:strike w:val="0"/>
                <w:color w:val="000000"/>
                <w:sz w:val="13"/>
                <w:u w:val="none"/>
                <w:vertAlign w:val="baseline"/>
              </w:rPr>
              <w:t>-286</w:t>
            </w:r>
            <w:bookmarkStart w:id="1061" w:name="XBRL_CE_d090879798f74b068f0cba39d4c86c85"/>
            <w:bookmarkEnd w:id="1060"/>
            <w:bookmarkEnd w:id="1061"/>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muutokset</w:t>
            </w: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62" w:name="XBRL_CS_fb2bc3ae8a414508ab39a9253c274a2b"/>
            <w:bookmarkEnd w:id="1062"/>
            <w:bookmarkStart w:id="1063" w:name="fb2bc3ae8a414508ab39a9253c274a2b"/>
            <w:r>
              <w:rPr>
                <w:rFonts w:ascii="Arial" w:eastAsia="Arial" w:hAnsi="Arial" w:cs="Arial"/>
                <w:b/>
                <w:i w:val="0"/>
                <w:strike w:val="0"/>
                <w:color w:val="000000"/>
                <w:sz w:val="13"/>
                <w:u w:val="none"/>
                <w:vertAlign w:val="baseline"/>
              </w:rPr>
              <w:t>7</w:t>
            </w:r>
            <w:bookmarkStart w:id="1064" w:name="XBRL_CE_fb2bc3ae8a414508ab39a9253c274a2b"/>
            <w:bookmarkEnd w:id="1063"/>
            <w:bookmarkEnd w:id="1064"/>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65" w:name="XBRL_CS_fcda8efcd8da4c11a2db6711f470db59"/>
            <w:bookmarkEnd w:id="1065"/>
            <w:bookmarkStart w:id="1066" w:name="fcda8efcd8da4c11a2db6711f470db59"/>
            <w:r>
              <w:rPr>
                <w:rFonts w:ascii="Arial" w:eastAsia="Arial" w:hAnsi="Arial" w:cs="Arial"/>
                <w:b/>
                <w:i w:val="0"/>
                <w:strike w:val="0"/>
                <w:color w:val="000000"/>
                <w:sz w:val="13"/>
                <w:u w:val="none"/>
                <w:vertAlign w:val="baseline"/>
              </w:rPr>
              <w:t>7</w:t>
            </w:r>
            <w:bookmarkStart w:id="1067" w:name="XBRL_CE_fcda8efcd8da4c11a2db6711f470db59"/>
            <w:bookmarkEnd w:id="1066"/>
            <w:bookmarkEnd w:id="1067"/>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68" w:name="XBRL_CS_8bbd26fdf8e24fbaa2663818dac9ef71"/>
            <w:bookmarkEnd w:id="1068"/>
            <w:bookmarkStart w:id="1069" w:name="8bbd26fdf8e24fbaa2663818dac9ef71"/>
            <w:bookmarkStart w:id="1070" w:name="XBRL_CS_227dd016ec494234a40ee62230b0234d"/>
            <w:bookmarkEnd w:id="1070"/>
            <w:bookmarkStart w:id="1071" w:name="227dd016ec494234a40ee62230b0234d"/>
            <w:r>
              <w:rPr>
                <w:rFonts w:ascii="Arial" w:eastAsia="Arial" w:hAnsi="Arial" w:cs="Arial"/>
                <w:b/>
                <w:i w:val="0"/>
                <w:strike w:val="0"/>
                <w:color w:val="000000"/>
                <w:sz w:val="13"/>
                <w:u w:val="none"/>
                <w:vertAlign w:val="baseline"/>
              </w:rPr>
              <w:t>7</w:t>
            </w:r>
            <w:bookmarkStart w:id="1072" w:name="XBRL_CE_227dd016ec494234a40ee62230b0234d"/>
            <w:bookmarkEnd w:id="1071"/>
            <w:bookmarkEnd w:id="1072"/>
            <w:bookmarkStart w:id="1073" w:name="XBRL_CE_8bbd26fdf8e24fbaa2663818dac9ef71"/>
            <w:bookmarkEnd w:id="1069"/>
            <w:bookmarkEnd w:id="1073"/>
          </w:p>
        </w:tc>
      </w:tr>
      <w:tr>
        <w:tblPrEx>
          <w:tblW w:w="15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85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 31.12.2020</w:t>
            </w:r>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74" w:name="XBRL_CS_b17610d1d2ae4846bb2aa133ec00d9f1"/>
            <w:bookmarkEnd w:id="1074"/>
            <w:bookmarkStart w:id="1075" w:name="b17610d1d2ae4846bb2aa133ec00d9f1"/>
            <w:r>
              <w:rPr>
                <w:rFonts w:ascii="Arial" w:eastAsia="Arial" w:hAnsi="Arial" w:cs="Arial"/>
                <w:b/>
                <w:i w:val="0"/>
                <w:strike w:val="0"/>
                <w:color w:val="000000"/>
                <w:sz w:val="13"/>
                <w:u w:val="none"/>
                <w:vertAlign w:val="baseline"/>
              </w:rPr>
              <w:t>336</w:t>
            </w:r>
            <w:bookmarkStart w:id="1076" w:name="XBRL_CE_b17610d1d2ae4846bb2aa133ec00d9f1"/>
            <w:bookmarkEnd w:id="1075"/>
            <w:bookmarkEnd w:id="1076"/>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77" w:name="XBRL_CS_8dfbaf17a3fd4b10ad992e49e813b809"/>
            <w:bookmarkEnd w:id="1077"/>
            <w:bookmarkStart w:id="1078" w:name="8dfbaf17a3fd4b10ad992e49e813b809"/>
            <w:r>
              <w:rPr>
                <w:rFonts w:ascii="Arial" w:eastAsia="Arial" w:hAnsi="Arial" w:cs="Arial"/>
                <w:b/>
                <w:i w:val="0"/>
                <w:strike w:val="0"/>
                <w:color w:val="000000"/>
                <w:sz w:val="13"/>
                <w:u w:val="none"/>
                <w:vertAlign w:val="baseline"/>
              </w:rPr>
              <w:t>61</w:t>
            </w:r>
            <w:bookmarkStart w:id="1079" w:name="XBRL_CE_8dfbaf17a3fd4b10ad992e49e813b809"/>
            <w:bookmarkEnd w:id="1078"/>
            <w:bookmarkEnd w:id="1079"/>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80" w:name="XBRL_CS_d41c3cb7d2de462fadc4a6e79a11359a"/>
            <w:bookmarkEnd w:id="1080"/>
            <w:bookmarkStart w:id="1081" w:name="d41c3cb7d2de462fadc4a6e79a11359a"/>
            <w:r>
              <w:rPr>
                <w:rFonts w:ascii="Arial" w:eastAsia="Arial" w:hAnsi="Arial" w:cs="Arial"/>
                <w:b/>
                <w:i w:val="0"/>
                <w:strike w:val="0"/>
                <w:color w:val="000000"/>
                <w:sz w:val="13"/>
                <w:u w:val="none"/>
                <w:vertAlign w:val="baseline"/>
              </w:rPr>
              <w:t>-197</w:t>
            </w:r>
            <w:bookmarkStart w:id="1082" w:name="XBRL_CE_d41c3cb7d2de462fadc4a6e79a11359a"/>
            <w:bookmarkEnd w:id="1081"/>
            <w:bookmarkEnd w:id="1082"/>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83" w:name="XBRL_CS_7502ea9f68ef473e91bfaf58f6d80eba"/>
            <w:bookmarkEnd w:id="1083"/>
            <w:bookmarkStart w:id="1084" w:name="7502ea9f68ef473e91bfaf58f6d80eba"/>
            <w:r>
              <w:rPr>
                <w:rFonts w:ascii="Arial" w:eastAsia="Arial" w:hAnsi="Arial" w:cs="Arial"/>
                <w:b/>
                <w:i w:val="0"/>
                <w:strike w:val="0"/>
                <w:color w:val="000000"/>
                <w:sz w:val="13"/>
                <w:u w:val="none"/>
                <w:vertAlign w:val="baseline"/>
              </w:rPr>
              <w:t>-9</w:t>
            </w:r>
            <w:bookmarkStart w:id="1085" w:name="XBRL_CE_7502ea9f68ef473e91bfaf58f6d80eba"/>
            <w:bookmarkEnd w:id="1084"/>
            <w:bookmarkEnd w:id="1085"/>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86" w:name="XBRL_CS_3e8250ad924345d1911bc35f4a9b7055"/>
            <w:bookmarkEnd w:id="1086"/>
            <w:bookmarkStart w:id="1087" w:name="3e8250ad924345d1911bc35f4a9b7055"/>
            <w:r>
              <w:rPr>
                <w:rFonts w:ascii="Arial" w:eastAsia="Arial" w:hAnsi="Arial" w:cs="Arial"/>
                <w:b/>
                <w:i w:val="0"/>
                <w:strike w:val="0"/>
                <w:color w:val="000000"/>
                <w:sz w:val="13"/>
                <w:u w:val="none"/>
                <w:vertAlign w:val="baseline"/>
              </w:rPr>
              <w:t>-45</w:t>
            </w:r>
            <w:bookmarkStart w:id="1088" w:name="XBRL_CE_3e8250ad924345d1911bc35f4a9b7055"/>
            <w:bookmarkEnd w:id="1087"/>
            <w:bookmarkEnd w:id="1088"/>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89" w:name="XBRL_CS_ce322b1d6919417a8008c2068f240def"/>
            <w:bookmarkEnd w:id="1089"/>
            <w:bookmarkStart w:id="1090" w:name="ce322b1d6919417a8008c2068f240def"/>
            <w:r>
              <w:rPr>
                <w:rFonts w:ascii="Arial" w:eastAsia="Arial" w:hAnsi="Arial" w:cs="Arial"/>
                <w:b/>
                <w:i w:val="0"/>
                <w:strike w:val="0"/>
                <w:color w:val="000000"/>
                <w:sz w:val="13"/>
                <w:u w:val="none"/>
                <w:vertAlign w:val="baseline"/>
              </w:rPr>
              <w:t>2 030</w:t>
            </w:r>
            <w:bookmarkStart w:id="1091" w:name="XBRL_CE_ce322b1d6919417a8008c2068f240def"/>
            <w:bookmarkEnd w:id="1090"/>
            <w:bookmarkEnd w:id="1091"/>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92" w:name="XBRL_CS_40577422474541878b081dafa3e99190"/>
            <w:bookmarkEnd w:id="1092"/>
            <w:bookmarkStart w:id="1093" w:name="40577422474541878b081dafa3e99190"/>
            <w:r>
              <w:rPr>
                <w:rFonts w:ascii="Arial" w:eastAsia="Arial" w:hAnsi="Arial" w:cs="Arial"/>
                <w:b/>
                <w:i w:val="0"/>
                <w:strike w:val="0"/>
                <w:color w:val="000000"/>
                <w:sz w:val="13"/>
                <w:u w:val="none"/>
                <w:vertAlign w:val="baseline"/>
              </w:rPr>
              <w:t>2 177</w:t>
            </w:r>
            <w:bookmarkStart w:id="1094" w:name="XBRL_CE_40577422474541878b081dafa3e99190"/>
            <w:bookmarkEnd w:id="1093"/>
            <w:bookmarkEnd w:id="1094"/>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95" w:name="XBRL_CS_bb2ec070288e4cb395c6783507706814"/>
            <w:bookmarkEnd w:id="1095"/>
            <w:bookmarkStart w:id="1096" w:name="bb2ec070288e4cb395c6783507706814"/>
            <w:r>
              <w:rPr>
                <w:rFonts w:ascii="Arial" w:eastAsia="Arial" w:hAnsi="Arial" w:cs="Arial"/>
                <w:b/>
                <w:i w:val="0"/>
                <w:strike w:val="0"/>
                <w:color w:val="000000"/>
                <w:sz w:val="13"/>
                <w:u w:val="none"/>
                <w:vertAlign w:val="baseline"/>
              </w:rPr>
              <w:t>11</w:t>
            </w:r>
            <w:bookmarkStart w:id="1097" w:name="XBRL_CE_bb2ec070288e4cb395c6783507706814"/>
            <w:bookmarkEnd w:id="1096"/>
            <w:bookmarkEnd w:id="1097"/>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bookmarkStart w:id="1098" w:name="XBRL_CS_5898ea323a4f485190acb1744ad842f6"/>
            <w:bookmarkEnd w:id="1098"/>
            <w:bookmarkStart w:id="1099" w:name="5898ea323a4f485190acb1744ad842f6"/>
            <w:r>
              <w:rPr>
                <w:rFonts w:ascii="Arial" w:eastAsia="Arial" w:hAnsi="Arial" w:cs="Arial"/>
                <w:b/>
                <w:i w:val="0"/>
                <w:strike w:val="0"/>
                <w:color w:val="000000"/>
                <w:sz w:val="13"/>
                <w:u w:val="none"/>
                <w:vertAlign w:val="baseline"/>
              </w:rPr>
              <w:t>2 188</w:t>
            </w:r>
            <w:bookmarkStart w:id="1100" w:name="XBRL_CE_5898ea323a4f485190acb1744ad842f6"/>
            <w:bookmarkEnd w:id="1099"/>
            <w:bookmarkEnd w:id="1100"/>
          </w:p>
        </w:tc>
      </w:tr>
    </w:tbl>
    <w:p w:rsidR="00A52490" w:rsidP="002642EE" w14:paraId="03BEF7BA" w14:textId="77777777">
      <w:pPr>
        <w:pStyle w:val="Bodytext2"/>
        <w:rPr>
          <w:lang w:val="fi-FI"/>
        </w:rPr>
      </w:pPr>
      <w:bookmarkStart w:id="1101" w:name="RG_MARKER_4689"/>
      <w:bookmarkEnd w:id="1101"/>
    </w:p>
    <w:p w:rsidR="004F79AC" w:rsidP="002642EE" w14:paraId="6CA3471F" w14:textId="7A10751F">
      <w:pPr>
        <w:pStyle w:val="Bodytext2"/>
        <w:rPr>
          <w:lang w:val="fi-FI"/>
        </w:rPr>
      </w:pPr>
      <w:r w:rsidRPr="004F79AC">
        <w:rPr>
          <w:lang w:val="fi-FI"/>
        </w:rPr>
        <w:t xml:space="preserve">Lisätietoja osakepääomasta, ylikurssirahastosta, muuntoeroista ja arvonmuutosrahastosta esitetään liitetiedossa </w:t>
      </w:r>
      <w:r>
        <w:rPr>
          <w:lang w:val="fi-FI"/>
        </w:rPr>
        <w:t>5.5</w:t>
      </w:r>
      <w:r w:rsidRPr="004F79AC">
        <w:rPr>
          <w:lang w:val="fi-FI"/>
        </w:rPr>
        <w:t>. Oma pääoma.</w:t>
      </w:r>
    </w:p>
    <w:p w:rsidR="004F79AC" w:rsidP="002642EE" w14:paraId="5C8CDA77" w14:textId="77777777">
      <w:pPr>
        <w:pStyle w:val="Bodytext2"/>
        <w:rPr>
          <w:lang w:val="fi-FI"/>
        </w:rPr>
      </w:pPr>
    </w:p>
    <w:p w:rsidR="002642EE" w:rsidRPr="000B44F7" w:rsidP="002642EE" w14:textId="4EEC5BDC">
      <w:pPr>
        <w:pStyle w:val="Bodytext2"/>
        <w:rPr>
          <w:sz w:val="2"/>
          <w:szCs w:val="2"/>
          <w:lang w:val="fi-FI"/>
        </w:rPr>
        <w:sectPr w:rsidSect="00A252C5">
          <w:headerReference w:type="even" r:id="rId33"/>
          <w:headerReference w:type="default" r:id="rId34"/>
          <w:footerReference w:type="even" r:id="rId35"/>
          <w:footerReference w:type="default" r:id="rId36"/>
          <w:headerReference w:type="first" r:id="rId37"/>
          <w:footerReference w:type="first" r:id="rId38"/>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docGrid w:linePitch="360"/>
        </w:sectPr>
      </w:pPr>
      <w:r w:rsidRPr="000B44F7">
        <w:rPr>
          <w:lang w:val="fi-FI"/>
        </w:rPr>
        <w:t>Liitetiedot ovat osa tätä tilinpäätöstä.</w:t>
      </w:r>
      <w:r w:rsidRPr="000B44F7">
        <w:rPr>
          <w:sz w:val="2"/>
          <w:szCs w:val="2"/>
          <w:lang w:val="fi-FI"/>
        </w:rPr>
        <w:br w:type="column"/>
      </w:r>
    </w:p>
    <w:p w:rsidR="00D006E1" w:rsidRPr="00C366B1" w:rsidP="00D006E1" w14:paraId="0E17F31A" w14:textId="42F0E000">
      <w:pPr>
        <w:pStyle w:val="Heading11"/>
        <w:rPr>
          <w:lang w:val="fi-FI"/>
        </w:rPr>
      </w:pPr>
      <w:bookmarkStart w:id="1102" w:name="RG_MARKER_4693"/>
      <w:bookmarkStart w:id="1103" w:name="RG_MARKER_4055"/>
      <w:r w:rsidRPr="00C366B1">
        <w:rPr>
          <w:lang w:val="fi-FI"/>
        </w:rPr>
        <w:t>KONSERNITILINPÄÄTÖKSEN LIITETIEDOT</w:t>
      </w:r>
      <w:bookmarkEnd w:id="1103"/>
      <w:bookmarkEnd w:id="1102"/>
    </w:p>
    <w:p w:rsidR="00D006E1" w:rsidRPr="00C366B1" w:rsidP="00D006E1" w14:paraId="12EEEA45" w14:textId="51976BE4">
      <w:pPr>
        <w:pStyle w:val="Heading11"/>
        <w:rPr>
          <w:lang w:val="fi-FI"/>
        </w:rPr>
      </w:pPr>
      <w:r w:rsidRPr="00C366B1">
        <w:rPr>
          <w:lang w:val="fi-FI"/>
        </w:rPr>
        <w:t>1. KONSERNITILINPÄÄTÖKSEN LAADINTAPERIAATTEET</w:t>
      </w:r>
    </w:p>
    <w:p w:rsidR="002642EE" w:rsidRPr="00D006E1" w:rsidP="002642EE" w14:paraId="6C27785B" w14:textId="75B47DBE">
      <w:pPr>
        <w:pStyle w:val="Heading12"/>
        <w:rPr>
          <w:lang w:val="fi-FI"/>
        </w:rPr>
      </w:pPr>
      <w:r w:rsidRPr="00D006E1">
        <w:rPr>
          <w:lang w:val="fi-FI"/>
        </w:rPr>
        <w:t>1.1</w:t>
      </w:r>
      <w:r w:rsidR="00213D96">
        <w:rPr>
          <w:lang w:val="fi-FI"/>
        </w:rPr>
        <w:t>.</w:t>
      </w:r>
      <w:r w:rsidRPr="00D006E1">
        <w:rPr>
          <w:lang w:val="fi-FI"/>
        </w:rPr>
        <w:t xml:space="preserve"> </w:t>
      </w:r>
      <w:r w:rsidRPr="00D006E1" w:rsidR="00D006E1">
        <w:rPr>
          <w:lang w:val="fi-FI"/>
        </w:rPr>
        <w:t>PERUSTIEDOT</w:t>
      </w:r>
    </w:p>
    <w:p w:rsidR="00D006E1" w:rsidRPr="00471A94" w:rsidP="00D006E1" w14:paraId="08AFF7CE" w14:textId="77777777">
      <w:pPr>
        <w:pStyle w:val="Bodytext2"/>
        <w:rPr>
          <w:lang w:val="fi-FI"/>
        </w:rPr>
      </w:pPr>
      <w:bookmarkStart w:id="1104" w:name="XBRL_CS_5bfcb0bbc54b4bce9824ad2d7b7d67a9"/>
      <w:r w:rsidRPr="00471A94">
        <w:rPr>
          <w:lang w:val="fi-FI"/>
        </w:rPr>
        <w:t>Wärtsilä Oyj Abp</w:t>
      </w:r>
      <w:bookmarkStart w:id="1105" w:name="XBRL_CE_5bfcb0bbc54b4bce9824ad2d7b7d67a9"/>
      <w:bookmarkEnd w:id="1104"/>
      <w:bookmarkEnd w:id="1105"/>
      <w:r w:rsidRPr="00471A94">
        <w:rPr>
          <w:lang w:val="fi-FI"/>
        </w:rPr>
        <w:t xml:space="preserve"> on </w:t>
      </w:r>
      <w:r w:rsidRPr="00225DC5">
        <w:rPr>
          <w:lang w:val="fi-FI"/>
        </w:rPr>
        <w:t xml:space="preserve">pörssinoteerattu </w:t>
      </w:r>
      <w:bookmarkStart w:id="1106" w:name="XBRL_CS_3f7c41dc184049dba45a07e9d5e0b70f"/>
      <w:r w:rsidRPr="00471A94">
        <w:rPr>
          <w:lang w:val="fi-FI"/>
        </w:rPr>
        <w:t>suomalainen</w:t>
      </w:r>
      <w:bookmarkStart w:id="1107" w:name="XBRL_CE_3f7c41dc184049dba45a07e9d5e0b70f"/>
      <w:bookmarkEnd w:id="1106"/>
      <w:bookmarkEnd w:id="1107"/>
      <w:r w:rsidRPr="00471A94">
        <w:rPr>
          <w:lang w:val="fi-FI"/>
        </w:rPr>
        <w:t xml:space="preserve">, Suomen lakien mukaan perustettu yhtiö, jonka kotipaikka on </w:t>
      </w:r>
      <w:bookmarkStart w:id="1108" w:name="XBRL_CS_a5c2ee0440514058a21e9e7f1affed56"/>
      <w:r w:rsidRPr="00471A94">
        <w:rPr>
          <w:lang w:val="fi-FI"/>
        </w:rPr>
        <w:t>Helsinki</w:t>
      </w:r>
      <w:bookmarkStart w:id="1109" w:name="XBRL_CE_a5c2ee0440514058a21e9e7f1affed56"/>
      <w:bookmarkEnd w:id="1108"/>
      <w:bookmarkEnd w:id="1109"/>
      <w:r w:rsidRPr="00471A94">
        <w:rPr>
          <w:lang w:val="fi-FI"/>
        </w:rPr>
        <w:t xml:space="preserve"> ja rekisteröity osoite </w:t>
      </w:r>
      <w:bookmarkStart w:id="1110" w:name="XBRL_CS_aaf043adbf0e4802b03724843235c491"/>
      <w:r w:rsidRPr="00471A94">
        <w:rPr>
          <w:lang w:val="fi-FI"/>
        </w:rPr>
        <w:t>Hiililaiturinkuja 2, 00180 Helsinki</w:t>
      </w:r>
      <w:bookmarkStart w:id="1111" w:name="XBRL_CE_aaf043adbf0e4802b03724843235c491"/>
      <w:bookmarkEnd w:id="1110"/>
      <w:bookmarkEnd w:id="1111"/>
      <w:r w:rsidRPr="00471A94">
        <w:rPr>
          <w:lang w:val="fi-FI"/>
        </w:rPr>
        <w:t xml:space="preserve">. </w:t>
      </w:r>
      <w:bookmarkStart w:id="1112" w:name="XBRL_CS_c50e2af4ee3840ada4005f65a8a3fff2"/>
      <w:r w:rsidRPr="00471A94">
        <w:rPr>
          <w:lang w:val="fi-FI"/>
        </w:rPr>
        <w:t>Wärtsilä Oyj Abp</w:t>
      </w:r>
      <w:bookmarkStart w:id="1113" w:name="XBRL_CE_c50e2af4ee3840ada4005f65a8a3fff2"/>
      <w:bookmarkEnd w:id="1112"/>
      <w:bookmarkEnd w:id="1113"/>
      <w:r w:rsidRPr="00471A94">
        <w:rPr>
          <w:lang w:val="fi-FI"/>
        </w:rPr>
        <w:t xml:space="preserve"> on Wärtsilä-konsernin emoyhtiö.</w:t>
      </w:r>
    </w:p>
    <w:p w:rsidR="00D006E1" w:rsidRPr="0064770A" w:rsidP="00D006E1" w14:paraId="61C25687" w14:textId="77777777">
      <w:pPr>
        <w:pStyle w:val="Bodytext2"/>
        <w:rPr>
          <w:lang w:val="fi-FI"/>
        </w:rPr>
      </w:pPr>
    </w:p>
    <w:p w:rsidR="00D006E1" w:rsidRPr="0064770A" w:rsidP="00D006E1" w14:paraId="777E57D3" w14:textId="77777777">
      <w:pPr>
        <w:pStyle w:val="Bodytext2"/>
        <w:rPr>
          <w:lang w:val="fi-FI"/>
        </w:rPr>
      </w:pPr>
      <w:bookmarkStart w:id="1114" w:name="XBRL_CS_4ef6e02e34b1488da9ffd10f91f6730b"/>
      <w:r w:rsidRPr="0064770A">
        <w:rPr>
          <w:lang w:val="fi-FI"/>
        </w:rPr>
        <w:t>Wärtsilä on kansainvälisesti johtava älykkään teknologian ja kokonaiselinkaa</w:t>
      </w:r>
      <w:r w:rsidRPr="0064770A">
        <w:rPr>
          <w:lang w:val="fi-FI"/>
        </w:rPr>
        <w:t>riratkaisujen toimittaja merenkulku- ja energiamarkkinoilla. Wärtsilä maksimoi asiakkaiden alusten ja voimalaitosten ympäristötehokkuuden ja taloudellisuuden keskittymällä kestäviin innovaatioihin, data-analytiikkaan ja kokonaishyötysuhteeseen.</w:t>
      </w:r>
      <w:bookmarkStart w:id="1115" w:name="XBRL_CE_4ef6e02e34b1488da9ffd10f91f6730b"/>
      <w:bookmarkEnd w:id="1114"/>
      <w:bookmarkEnd w:id="1115"/>
    </w:p>
    <w:p w:rsidR="00D006E1" w:rsidRPr="0064770A" w:rsidP="00D006E1" w14:paraId="44FC313D" w14:textId="77777777">
      <w:pPr>
        <w:pStyle w:val="Bodytext2"/>
        <w:rPr>
          <w:lang w:val="fi-FI"/>
        </w:rPr>
      </w:pPr>
    </w:p>
    <w:p w:rsidR="00D006E1" w:rsidRPr="0064770A" w:rsidP="00D006E1" w14:paraId="19F9C71B" w14:textId="6C232E6F">
      <w:pPr>
        <w:pStyle w:val="Bodytext2"/>
        <w:rPr>
          <w:lang w:val="fi-FI"/>
        </w:rPr>
      </w:pPr>
      <w:r w:rsidRPr="0064770A">
        <w:rPr>
          <w:lang w:val="fi-FI"/>
        </w:rPr>
        <w:t>Vuonna 202</w:t>
      </w:r>
      <w:r w:rsidRPr="0064770A">
        <w:rPr>
          <w:lang w:val="fi-FI"/>
        </w:rPr>
        <w:t>0 Wärtsilän liikevaihto oli 4,6 miljardia euroa ja henkilöstömäärä noin 18.</w:t>
      </w:r>
      <w:r w:rsidR="00DC2AF3">
        <w:rPr>
          <w:lang w:val="fi-FI"/>
        </w:rPr>
        <w:t>0</w:t>
      </w:r>
      <w:r w:rsidRPr="0064770A">
        <w:rPr>
          <w:lang w:val="fi-FI"/>
        </w:rPr>
        <w:t>0</w:t>
      </w:r>
      <w:r w:rsidR="00DC2AF3">
        <w:rPr>
          <w:lang w:val="fi-FI"/>
        </w:rPr>
        <w:t>0</w:t>
      </w:r>
      <w:r w:rsidRPr="0064770A">
        <w:rPr>
          <w:lang w:val="fi-FI"/>
        </w:rPr>
        <w:t xml:space="preserve">. Yrityksellä on yli 200 toimipistettä yli </w:t>
      </w:r>
      <w:r w:rsidR="00DC2AF3">
        <w:rPr>
          <w:lang w:val="fi-FI"/>
        </w:rPr>
        <w:t>7</w:t>
      </w:r>
      <w:r w:rsidRPr="0064770A">
        <w:rPr>
          <w:lang w:val="fi-FI"/>
        </w:rPr>
        <w:t xml:space="preserve">0 maassa eri puolilla maailmaa. </w:t>
      </w:r>
      <w:bookmarkStart w:id="1116" w:name="XBRL_CS_ea0cf9a6dd804c9a8604e863881d9966"/>
      <w:r w:rsidRPr="00BC0E82">
        <w:rPr>
          <w:lang w:val="fi-FI"/>
        </w:rPr>
        <w:t>Wärtsilä</w:t>
      </w:r>
      <w:bookmarkStart w:id="1117" w:name="XBRL_CE_ea0cf9a6dd804c9a8604e863881d9966"/>
      <w:bookmarkEnd w:id="1116"/>
      <w:bookmarkEnd w:id="1117"/>
      <w:r w:rsidRPr="0064770A">
        <w:rPr>
          <w:lang w:val="fi-FI"/>
        </w:rPr>
        <w:t>n osakkeet on listattu Nasdaq Helsingissä.</w:t>
      </w:r>
    </w:p>
    <w:p w:rsidR="00D006E1" w:rsidRPr="0064770A" w:rsidP="00D006E1" w14:paraId="1E581766" w14:textId="77777777">
      <w:pPr>
        <w:pStyle w:val="Bodytext2"/>
        <w:rPr>
          <w:lang w:val="fi-FI"/>
        </w:rPr>
      </w:pPr>
    </w:p>
    <w:p w:rsidR="002642EE" w:rsidRPr="0064770A" w:rsidP="00D006E1" w14:paraId="7BC82AE6" w14:textId="1CF79559">
      <w:pPr>
        <w:pStyle w:val="Bodytext2"/>
        <w:rPr>
          <w:lang w:val="fi-FI"/>
        </w:rPr>
      </w:pPr>
      <w:bookmarkStart w:id="1118" w:name="XBRL_CS_10f4d321e0934cb1afc954b36c98dfba"/>
      <w:r w:rsidRPr="0064770A">
        <w:rPr>
          <w:lang w:val="fi-FI"/>
        </w:rPr>
        <w:t>Wärtsilä Oyj Abp</w:t>
      </w:r>
      <w:bookmarkStart w:id="1119" w:name="XBRL_CE_10f4d321e0934cb1afc954b36c98dfba"/>
      <w:bookmarkEnd w:id="1118"/>
      <w:bookmarkEnd w:id="1119"/>
      <w:r w:rsidRPr="0064770A">
        <w:rPr>
          <w:lang w:val="fi-FI"/>
        </w:rPr>
        <w:t>:n hallitus on hyväksynyt kokoukse</w:t>
      </w:r>
      <w:r w:rsidRPr="0064770A">
        <w:rPr>
          <w:lang w:val="fi-FI"/>
        </w:rPr>
        <w:t>ssaan 27.1.2021 tämän tilinpäätöksen julkistettavaksi. Suomen osakeyhtiölain mukaan osakkeenomistajilla on oikeus hyväksyä tai hylätä tilinpäätös sen julkistamisen jälkeen pidettävässä yhtiökokouksessa. Yhtiökokouksella on myös mahdollisuus tehdä päätös ti</w:t>
      </w:r>
      <w:r w:rsidRPr="0064770A">
        <w:rPr>
          <w:lang w:val="fi-FI"/>
        </w:rPr>
        <w:t>linpäätöksen muuttamisesta.</w:t>
      </w:r>
    </w:p>
    <w:p w:rsidR="00D006E1" w:rsidRPr="0064770A" w:rsidP="00D006E1" w14:paraId="61293539" w14:textId="04EBA6E6">
      <w:pPr>
        <w:pStyle w:val="Bodytext2"/>
        <w:rPr>
          <w:lang w:val="fi-FI"/>
        </w:rPr>
      </w:pPr>
    </w:p>
    <w:p w:rsidR="00D006E1" w:rsidRPr="00D006E1" w:rsidP="00D006E1" w14:paraId="0A652107" w14:textId="63037385">
      <w:pPr>
        <w:pStyle w:val="Heading12"/>
        <w:rPr>
          <w:lang w:val="fi-FI"/>
        </w:rPr>
      </w:pPr>
      <w:r w:rsidRPr="00D006E1">
        <w:rPr>
          <w:lang w:val="fi-FI"/>
        </w:rPr>
        <w:t>1.2. L</w:t>
      </w:r>
      <w:r>
        <w:rPr>
          <w:lang w:val="fi-FI"/>
        </w:rPr>
        <w:t>AADINTAPERIAATTEET</w:t>
      </w:r>
    </w:p>
    <w:p w:rsidR="00D006E1" w:rsidP="00D006E1" w14:paraId="6DAEBF33" w14:textId="1ADD3530">
      <w:pPr>
        <w:pStyle w:val="Bodytext2"/>
        <w:rPr>
          <w:lang w:val="fi-FI"/>
        </w:rPr>
      </w:pPr>
      <w:r w:rsidRPr="00D006E1">
        <w:rPr>
          <w:lang w:val="fi-FI"/>
        </w:rPr>
        <w:t>Konsernitilinpäätös on laadittu kansainvälisten tilinpäätösstandardien (International Financial Reporting Standards, IFRS) mukaisesti. Sitä laadittaessa on noudatettu 31.12.20</w:t>
      </w:r>
      <w:r>
        <w:rPr>
          <w:lang w:val="fi-FI"/>
        </w:rPr>
        <w:t>20</w:t>
      </w:r>
      <w:r w:rsidRPr="00D006E1">
        <w:rPr>
          <w:lang w:val="fi-FI"/>
        </w:rPr>
        <w:t xml:space="preserve"> voimassa olleita IAS- ja</w:t>
      </w:r>
      <w:r w:rsidRPr="00D006E1">
        <w:rPr>
          <w:lang w:val="fi-FI"/>
        </w:rPr>
        <w:t xml:space="preserve"> IFRS-standardeja sekä SIC- ja IFRIC-tulkintoja. Kansainvälisillä tilinpäätösstandardeilla tarkoitetaan Suomen kirjanpitolaissa ja sen nojalla annetuissa säännöksissä EU:n asetuksessa (EY) N:o 1606/2002 säädetyn menettelyn mukaisesti EU:ssa sovellettaviksi</w:t>
      </w:r>
      <w:r w:rsidRPr="00D006E1">
        <w:rPr>
          <w:lang w:val="fi-FI"/>
        </w:rPr>
        <w:t xml:space="preserve"> hyväksyttyjä standardeja ja niistä annettuja tulkintoja. Konsernitilinpäätöksen liitetiedot ovat myös suomalaisen kirjanpito- ja yhteisölainsäädännön mukaiset.</w:t>
      </w:r>
    </w:p>
    <w:p w:rsidR="00D006E1" w:rsidP="00D006E1" w14:paraId="334E3666" w14:textId="5A89B73A">
      <w:pPr>
        <w:pStyle w:val="Bodytext2"/>
        <w:rPr>
          <w:lang w:val="fi-FI"/>
        </w:rPr>
      </w:pPr>
    </w:p>
    <w:p w:rsidR="00D006E1" w:rsidRPr="00D006E1" w:rsidP="00D006E1" w14:paraId="7047138B" w14:textId="3669AE20">
      <w:pPr>
        <w:pStyle w:val="Bodytext2"/>
        <w:rPr>
          <w:lang w:val="fi-FI"/>
        </w:rPr>
      </w:pPr>
      <w:r w:rsidRPr="00B20FA4">
        <w:rPr>
          <w:lang w:val="fi-FI"/>
        </w:rPr>
        <w:t>Konsernin sisäiset liiketapahtumat, voitonjako, saamiset ja velat sekä realisoitumattomat katt</w:t>
      </w:r>
      <w:r w:rsidRPr="00B20FA4">
        <w:rPr>
          <w:lang w:val="fi-FI"/>
        </w:rPr>
        <w:t>eet eliminoidaan konsernitilinpäätöksessä. Määräysvallattomien omistajien osuus erotetaan tilikauden tuloksesta sekä laajasta tuloksesta. Konsernin taseessa määräysvallattomien omistajien osuus omasta pääomasta esitetään omana eränään omassa pääomassa.</w:t>
      </w:r>
    </w:p>
    <w:p w:rsidR="00D006E1" w:rsidRPr="00D006E1" w:rsidP="00D006E1" w14:paraId="63E9EDBA" w14:textId="77777777">
      <w:pPr>
        <w:pStyle w:val="Bodytext2"/>
        <w:rPr>
          <w:lang w:val="fi-FI"/>
        </w:rPr>
      </w:pPr>
    </w:p>
    <w:p w:rsidR="00D006E1" w:rsidP="00D006E1" w14:paraId="5F6E7B34" w14:textId="0BF3AA71">
      <w:pPr>
        <w:pStyle w:val="Bodytext2"/>
        <w:rPr>
          <w:lang w:val="fi-FI"/>
        </w:rPr>
      </w:pPr>
      <w:r w:rsidRPr="00D006E1">
        <w:rPr>
          <w:lang w:val="fi-FI"/>
        </w:rPr>
        <w:t>Ko</w:t>
      </w:r>
      <w:r w:rsidRPr="00D006E1">
        <w:rPr>
          <w:lang w:val="fi-FI"/>
        </w:rPr>
        <w:t>nsernitilinpäätös on laadittu alkuperäisiin hankintamenoihin perustuen lukuun ottamatta käypään arvoon tulosvaikutteisesti kirjattavia rahoitusvaroja ja -velkoja, eläkejärjestelyistä aiheutuvia varoja ja velkoja, käyvän arvon suojaukseen tarkoitettuja suoj</w:t>
      </w:r>
      <w:r w:rsidRPr="00D006E1">
        <w:rPr>
          <w:lang w:val="fi-FI"/>
        </w:rPr>
        <w:t xml:space="preserve">auskohteita ja </w:t>
      </w:r>
      <w:r w:rsidRPr="00D2761B">
        <w:rPr>
          <w:color w:val="auto"/>
          <w:lang w:val="fi-FI"/>
        </w:rPr>
        <w:t>käteisvaroina osakkeina</w:t>
      </w:r>
      <w:r w:rsidRPr="00D2761B">
        <w:rPr>
          <w:color w:val="FF0000"/>
          <w:lang w:val="fi-FI"/>
        </w:rPr>
        <w:t xml:space="preserve"> </w:t>
      </w:r>
      <w:r w:rsidRPr="00D2761B">
        <w:rPr>
          <w:color w:val="auto"/>
          <w:lang w:val="fi-FI"/>
        </w:rPr>
        <w:t>suoritettavia</w:t>
      </w:r>
      <w:r w:rsidRPr="00B20FA4">
        <w:rPr>
          <w:color w:val="auto"/>
          <w:lang w:val="fi-FI"/>
        </w:rPr>
        <w:t xml:space="preserve"> osakeperusteisia </w:t>
      </w:r>
      <w:r w:rsidRPr="00D006E1">
        <w:rPr>
          <w:lang w:val="fi-FI"/>
        </w:rPr>
        <w:t>liiketoimia, jotka on arvostettu käypään arvoon</w:t>
      </w:r>
      <w:r w:rsidRPr="00D006E1">
        <w:rPr>
          <w:szCs w:val="15"/>
          <w:lang w:val="fi-FI"/>
        </w:rPr>
        <w:t xml:space="preserve">, </w:t>
      </w:r>
      <w:r w:rsidR="00F43680">
        <w:rPr>
          <w:szCs w:val="15"/>
          <w:lang w:val="fi-FI"/>
        </w:rPr>
        <w:t xml:space="preserve">ja myytävänä olevia omaisuuseriä, jotka on arvostettu joko </w:t>
      </w:r>
      <w:r w:rsidR="00F43680">
        <w:rPr>
          <w:szCs w:val="15"/>
          <w:lang w:val="fi-FI"/>
        </w:rPr>
        <w:t>kirjanpitoarvoon tai käypään arvoon myyntikuluilla vähennettynä, siihen kumpi näistä on alempi.</w:t>
      </w:r>
      <w:r w:rsidRPr="00D006E1">
        <w:rPr>
          <w:szCs w:val="15"/>
          <w:lang w:val="fi-FI"/>
        </w:rPr>
        <w:t xml:space="preserve"> </w:t>
      </w:r>
      <w:r w:rsidRPr="00D006E1">
        <w:rPr>
          <w:lang w:val="fi-FI"/>
        </w:rPr>
        <w:t>Luvut ovat miljoonia euroja lukuun ottamatta liitet</w:t>
      </w:r>
      <w:r>
        <w:rPr>
          <w:lang w:val="fi-FI"/>
        </w:rPr>
        <w:t>ietoa 7.2</w:t>
      </w:r>
      <w:r w:rsidRPr="00D006E1">
        <w:rPr>
          <w:lang w:val="fi-FI"/>
        </w:rPr>
        <w:t xml:space="preserve">. </w:t>
      </w:r>
      <w:r>
        <w:rPr>
          <w:lang w:val="fi-FI"/>
        </w:rPr>
        <w:t>Lähipiiritapahtumat</w:t>
      </w:r>
      <w:r w:rsidRPr="00D006E1">
        <w:rPr>
          <w:lang w:val="fi-FI"/>
        </w:rPr>
        <w:t>, joka on esitetty tuhansissa euroissa.</w:t>
      </w:r>
    </w:p>
    <w:p w:rsidR="00D006E1" w:rsidP="00D006E1" w14:paraId="702F7F56" w14:textId="6934FE20">
      <w:pPr>
        <w:pStyle w:val="Bodytext2"/>
        <w:rPr>
          <w:lang w:val="fi-FI"/>
        </w:rPr>
      </w:pPr>
    </w:p>
    <w:p w:rsidR="00D006E1" w:rsidRPr="00A20198" w:rsidP="00D006E1" w14:paraId="31060371" w14:textId="6819F2EE">
      <w:pPr>
        <w:pStyle w:val="Heading12"/>
        <w:rPr>
          <w:lang w:val="fi-FI"/>
        </w:rPr>
      </w:pPr>
      <w:r w:rsidRPr="00A20198">
        <w:rPr>
          <w:lang w:val="fi-FI"/>
        </w:rPr>
        <w:t>1.3. UUDET JA MUUTETUT IFRS-STANDARDIT</w:t>
      </w:r>
    </w:p>
    <w:p w:rsidR="00D006E1" w:rsidP="00D006E1" w14:paraId="79A7603D" w14:textId="77F71A18">
      <w:pPr>
        <w:pStyle w:val="Bodytext2"/>
        <w:rPr>
          <w:lang w:val="fi-FI"/>
        </w:rPr>
      </w:pPr>
      <w:r w:rsidRPr="00A20198">
        <w:rPr>
          <w:lang w:val="fi-FI"/>
        </w:rPr>
        <w:t>Konserni otti vuonna 2020 käyttöön seuraavat IASB:n julkaisemat muutetu</w:t>
      </w:r>
      <w:r w:rsidRPr="00A20198">
        <w:rPr>
          <w:lang w:val="fi-FI"/>
        </w:rPr>
        <w:t>t standardit.</w:t>
      </w:r>
    </w:p>
    <w:p w:rsidR="00D006E1" w:rsidRPr="00D006E1" w:rsidP="00D006E1" w14:paraId="5DB1109D" w14:textId="77777777">
      <w:pPr>
        <w:pStyle w:val="Bodytext2"/>
        <w:rPr>
          <w:lang w:val="fi-FI"/>
        </w:rPr>
      </w:pPr>
    </w:p>
    <w:p w:rsidR="00D006E1" w:rsidP="00D006E1" w14:paraId="2523F1A2" w14:textId="6CD747A6">
      <w:pPr>
        <w:pStyle w:val="Bodytext2"/>
        <w:rPr>
          <w:lang w:val="fi-FI"/>
        </w:rPr>
      </w:pPr>
      <w:r w:rsidRPr="00D006E1">
        <w:rPr>
          <w:lang w:val="fi-FI"/>
        </w:rPr>
        <w:t xml:space="preserve">Muutokset standardiin IFRS 3 Liiketoimintojen yhdistäminen (sovellettava 1.1.2020 tai sen jälkeen alkavilla tilikausilla). Muutosten tarkoituksena on auttaa yhteisöjä määrittämään, onko hankintaa käsiteltävä liiketoiminnan yhdistämisenä vai </w:t>
      </w:r>
      <w:r w:rsidRPr="00D006E1">
        <w:rPr>
          <w:lang w:val="fi-FI"/>
        </w:rPr>
        <w:t>omaisuuden hankintana. Muutokset selventävät liiketoiminnan määritelmiä, poistavat vaatimuksen arviolle, pystyvätkö markkinaosapuolet korvaamaan puuttuvia panoksia tai prosesseja, rajaavat liiketoiminnan ja tuotosten määritelmiä ja lisäävät ohjeistusta aut</w:t>
      </w:r>
      <w:r w:rsidRPr="00D006E1">
        <w:rPr>
          <w:lang w:val="fi-FI"/>
        </w:rPr>
        <w:t>tamaan yhtiöitä sen arvioimisessa, milloin hankinnan kohde on itsenäinen prosessi. Standardiin lisätään myös valinnainen käyvän arvon keskittymisen testi. Muutoksilla ei ole vaikutusta konsernitilinpäätökseen.</w:t>
      </w:r>
    </w:p>
    <w:p w:rsidR="00D006E1" w:rsidRPr="00D006E1" w:rsidP="00D006E1" w14:paraId="19E4ABBC" w14:textId="77777777">
      <w:pPr>
        <w:pStyle w:val="Bodytext2"/>
        <w:rPr>
          <w:lang w:val="fi-FI"/>
        </w:rPr>
      </w:pPr>
    </w:p>
    <w:p w:rsidR="00D006E1" w:rsidRPr="00D006E1" w:rsidP="00D006E1" w14:paraId="4AD1884F" w14:textId="01EF32B4">
      <w:pPr>
        <w:pStyle w:val="Bodytext2"/>
        <w:rPr>
          <w:lang w:val="fi-FI"/>
        </w:rPr>
      </w:pPr>
      <w:r w:rsidRPr="00D006E1">
        <w:rPr>
          <w:lang w:val="fi-FI"/>
        </w:rPr>
        <w:t xml:space="preserve">Muutokset standardeihin IAS 1 Tilinpäätöksen </w:t>
      </w:r>
      <w:r w:rsidRPr="00D006E1">
        <w:rPr>
          <w:lang w:val="fi-FI"/>
        </w:rPr>
        <w:t>esittäminen ja IAS 8 Tilinpäätöksen laatimisperiaatteet, kirjanpidollisten arvioiden muutokset ja virheet (sovellettava 1.1.2020 tai sen jälkeen alkavilla tilikausilla). Muutoksilla yhdenmukaistetaan ja selvennetään olennaisuuden määritelmää IFRS-standarde</w:t>
      </w:r>
      <w:r w:rsidRPr="00D006E1">
        <w:rPr>
          <w:lang w:val="fi-FI"/>
        </w:rPr>
        <w:t>issa. Muutokset selventävät, että olennaisuus riippuu tiedon luonteesta tai laajuudesta tai molemmista. Muutoksilla ei ole vaikutusta konsernitilinpäätökseen.</w:t>
      </w:r>
    </w:p>
    <w:p w:rsidR="00D006E1" w:rsidRPr="00D006E1" w:rsidP="00D006E1" w14:paraId="5078D392" w14:textId="77777777">
      <w:pPr>
        <w:pStyle w:val="Bodytext2"/>
        <w:rPr>
          <w:lang w:val="fi-FI"/>
        </w:rPr>
      </w:pPr>
    </w:p>
    <w:p w:rsidR="00D006E1" w:rsidP="00D006E1" w14:paraId="63672619" w14:textId="2A65237B">
      <w:pPr>
        <w:pStyle w:val="Bodytext2"/>
        <w:rPr>
          <w:lang w:val="fi-FI"/>
        </w:rPr>
      </w:pPr>
      <w:r w:rsidRPr="00D006E1">
        <w:rPr>
          <w:lang w:val="fi-FI"/>
        </w:rPr>
        <w:t>Muutokset standardeihin IFRS 9 Rahoitusinstrumentit, IAS 39 Rahoitusinstrumentit: kirjaaminen ja</w:t>
      </w:r>
      <w:r w:rsidRPr="00D006E1">
        <w:rPr>
          <w:lang w:val="fi-FI"/>
        </w:rPr>
        <w:t xml:space="preserve"> arvostaminen ja IFRS 7 Rahoitusinstrumentit: esittämistapa (sovellettava 1.1.2020 tai sen jälkeen alkavilla tilikausilla). Muutokset tuovat tiettyjä viitekorkouudistukseen liittyviä helpotuksia. Helpotukset koskevat suojauslaskentaa, ja niiden vaikutuksen</w:t>
      </w:r>
      <w:r w:rsidRPr="00D006E1">
        <w:rPr>
          <w:lang w:val="fi-FI"/>
        </w:rPr>
        <w:t>a viitekorkouudistuksen ei tulisi yleensä aiheuttaa suojauslaskennan lopettamista. Suojauksen tehoton osuus tulee jatkossakin kirjata tuloslaskelmaan. Muutoksilla ei ole merkittävää vaikutusta konsernitilinpäätökseen.</w:t>
      </w:r>
    </w:p>
    <w:p w:rsidR="00D006E1" w:rsidP="00D006E1" w14:paraId="050EFDBA" w14:textId="2B288C75">
      <w:pPr>
        <w:pStyle w:val="Bodytext2"/>
        <w:rPr>
          <w:lang w:val="fi-FI"/>
        </w:rPr>
      </w:pPr>
    </w:p>
    <w:p w:rsidR="00D006E1" w:rsidRPr="00A20198" w:rsidP="00D006E1" w14:paraId="53F2CC9A" w14:textId="30500715">
      <w:pPr>
        <w:pStyle w:val="Bodytext2"/>
        <w:rPr>
          <w:szCs w:val="15"/>
          <w:lang w:val="fi-FI"/>
        </w:rPr>
      </w:pPr>
      <w:r w:rsidRPr="00A20198">
        <w:rPr>
          <w:szCs w:val="15"/>
          <w:lang w:val="fi-FI"/>
        </w:rPr>
        <w:t xml:space="preserve">Muutokset standardiin IFRS 16 Vuokrasopimukset Covid-19-Related Rent Concessions (sovellettava 1.6.2020 tai sen jälkeen alkavilla </w:t>
      </w:r>
      <w:r w:rsidRPr="00A20198" w:rsidR="00150B39">
        <w:rPr>
          <w:szCs w:val="15"/>
          <w:lang w:val="fi-FI"/>
        </w:rPr>
        <w:t>tili</w:t>
      </w:r>
      <w:r w:rsidRPr="00A20198">
        <w:rPr>
          <w:szCs w:val="15"/>
          <w:lang w:val="fi-FI"/>
        </w:rPr>
        <w:t>kausilla). Muutos tuo vuokralle ottajalle mahdollisuuden soveltaa käytännön apukeinoa, joka yksinkertaistaa kirjanpitokäsi</w:t>
      </w:r>
      <w:r w:rsidRPr="00A20198">
        <w:rPr>
          <w:szCs w:val="15"/>
          <w:lang w:val="fi-FI"/>
        </w:rPr>
        <w:t>ttelyä sellaisten vuokriin liittyvien helpotusten osalta, jotka aiheutuvat suoraan COVID-19:stä. Käytännön apukeinoa soveltavan vuokralle ottajan ei edellytetä arvioivan sitä, ovatko vuokriin liittyvät helpotukset vuokrasopimuksen muutoksia, jos standardim</w:t>
      </w:r>
      <w:r w:rsidRPr="00A20198">
        <w:rPr>
          <w:szCs w:val="15"/>
          <w:lang w:val="fi-FI"/>
        </w:rPr>
        <w:t>uutoksessa esitetyt kriteerit täyttyvät. Muutoks</w:t>
      </w:r>
      <w:r w:rsidRPr="00A20198" w:rsidR="00150B39">
        <w:rPr>
          <w:szCs w:val="15"/>
          <w:lang w:val="fi-FI"/>
        </w:rPr>
        <w:t>i</w:t>
      </w:r>
      <w:r w:rsidRPr="00A20198">
        <w:rPr>
          <w:szCs w:val="15"/>
          <w:lang w:val="fi-FI"/>
        </w:rPr>
        <w:t xml:space="preserve">lla ei </w:t>
      </w:r>
      <w:r w:rsidRPr="00A20198" w:rsidR="00150B39">
        <w:rPr>
          <w:szCs w:val="15"/>
          <w:lang w:val="fi-FI"/>
        </w:rPr>
        <w:t>ole</w:t>
      </w:r>
      <w:r w:rsidRPr="00A20198">
        <w:rPr>
          <w:szCs w:val="15"/>
          <w:lang w:val="fi-FI"/>
        </w:rPr>
        <w:t xml:space="preserve"> merkittävää vaikutusta konserni</w:t>
      </w:r>
      <w:r w:rsidRPr="00A20198">
        <w:rPr>
          <w:szCs w:val="15"/>
          <w:lang w:val="fi-FI"/>
        </w:rPr>
        <w:t>tilinpäätökseen.</w:t>
      </w:r>
    </w:p>
    <w:p w:rsidR="00D006E1" w:rsidRPr="00C366B1" w:rsidP="00D006E1" w14:paraId="6CDF0AFD" w14:textId="77777777">
      <w:pPr>
        <w:pStyle w:val="Bodytext2"/>
        <w:rPr>
          <w:lang w:val="fi-FI"/>
        </w:rPr>
      </w:pPr>
    </w:p>
    <w:p w:rsidR="00D006E1" w:rsidP="00D006E1" w14:paraId="072D8067" w14:textId="0DC3F3A4">
      <w:pPr>
        <w:pStyle w:val="Bodytext2"/>
        <w:rPr>
          <w:lang w:val="fi-FI"/>
        </w:rPr>
      </w:pPr>
      <w:r w:rsidRPr="00A20198">
        <w:rPr>
          <w:lang w:val="fi-FI"/>
        </w:rPr>
        <w:t>Konserni ottaa vuonna 2021 tai myöhemmin käyttöön seuraavat IASB:n julkaisemat uudet ja muutetut standardit.</w:t>
      </w:r>
    </w:p>
    <w:p w:rsidR="00D006E1" w:rsidRPr="00D006E1" w:rsidP="00D006E1" w14:paraId="26FB0437" w14:textId="77777777">
      <w:pPr>
        <w:pStyle w:val="Bodytext2"/>
        <w:rPr>
          <w:lang w:val="fi-FI"/>
        </w:rPr>
      </w:pPr>
    </w:p>
    <w:p w:rsidR="00C250C9" w:rsidRPr="00612800" w:rsidP="00C250C9" w14:paraId="5E0BEA18" w14:textId="0FA5D64D">
      <w:pPr>
        <w:rPr>
          <w:lang w:val="fi-FI"/>
        </w:rPr>
      </w:pPr>
      <w:r w:rsidRPr="00C250C9">
        <w:rPr>
          <w:rFonts w:ascii="Arial" w:hAnsi="Arial" w:cs="Arial"/>
          <w:color w:val="111111"/>
          <w:sz w:val="15"/>
          <w:szCs w:val="15"/>
          <w:lang w:val="fi-FI"/>
        </w:rPr>
        <w:t>Muutokset standardiin IAS 1</w:t>
      </w:r>
      <w:r>
        <w:rPr>
          <w:rFonts w:ascii="Arial" w:hAnsi="Arial" w:cs="Arial"/>
          <w:color w:val="111111"/>
          <w:sz w:val="15"/>
          <w:szCs w:val="15"/>
          <w:lang w:val="fi-FI"/>
        </w:rPr>
        <w:t xml:space="preserve"> </w:t>
      </w:r>
      <w:r w:rsidRPr="00C250C9">
        <w:rPr>
          <w:rFonts w:ascii="Arial" w:hAnsi="Arial" w:cs="Arial"/>
          <w:color w:val="111111"/>
          <w:sz w:val="15"/>
          <w:szCs w:val="15"/>
          <w:lang w:val="fi-FI"/>
        </w:rPr>
        <w:t xml:space="preserve">Tilinpäätöksen esittäminen (sovellettava 1.1.2022 tai sen jälkeen alkavilla tilikausilla). Muutoksilla selvennetään velkojen luokittelua joko lyhytaikaisiksi tai pitkäaikaisiksi </w:t>
      </w:r>
      <w:r w:rsidR="00DC04D8">
        <w:rPr>
          <w:rFonts w:ascii="Arial" w:hAnsi="Arial" w:cs="Arial"/>
          <w:color w:val="111111"/>
          <w:sz w:val="15"/>
          <w:szCs w:val="15"/>
          <w:lang w:val="fi-FI"/>
        </w:rPr>
        <w:t>tili</w:t>
      </w:r>
      <w:r w:rsidRPr="00C250C9">
        <w:rPr>
          <w:rFonts w:ascii="Arial" w:hAnsi="Arial" w:cs="Arial"/>
          <w:color w:val="111111"/>
          <w:sz w:val="15"/>
          <w:szCs w:val="15"/>
          <w:lang w:val="fi-FI"/>
        </w:rPr>
        <w:t>kauden lopussa olevien oikeuksien</w:t>
      </w:r>
      <w:r>
        <w:rPr>
          <w:lang w:val="fi-FI"/>
        </w:rPr>
        <w:t xml:space="preserve"> </w:t>
      </w:r>
      <w:r w:rsidRPr="00C250C9">
        <w:rPr>
          <w:rFonts w:ascii="Arial" w:hAnsi="Arial" w:cs="Arial"/>
          <w:color w:val="111111"/>
          <w:sz w:val="15"/>
          <w:szCs w:val="15"/>
          <w:lang w:val="fi-FI"/>
        </w:rPr>
        <w:t>mukaan. Yhtiön odotuksilla tai tilinpäät</w:t>
      </w:r>
      <w:r w:rsidRPr="00C250C9">
        <w:rPr>
          <w:rFonts w:ascii="Arial" w:hAnsi="Arial" w:cs="Arial"/>
          <w:color w:val="111111"/>
          <w:sz w:val="15"/>
          <w:szCs w:val="15"/>
          <w:lang w:val="fi-FI"/>
        </w:rPr>
        <w:t>öspäivän jälkeisillä</w:t>
      </w:r>
      <w:r>
        <w:rPr>
          <w:lang w:val="fi-FI"/>
        </w:rPr>
        <w:t xml:space="preserve"> </w:t>
      </w:r>
      <w:r w:rsidRPr="00C250C9">
        <w:rPr>
          <w:rFonts w:ascii="Arial" w:hAnsi="Arial" w:cs="Arial"/>
          <w:color w:val="111111"/>
          <w:sz w:val="15"/>
          <w:szCs w:val="15"/>
          <w:lang w:val="fi-FI"/>
        </w:rPr>
        <w:t xml:space="preserve">tapahtumilla ei ole vaikutusta luokitteluun. </w:t>
      </w:r>
      <w:r w:rsidRPr="00612800">
        <w:rPr>
          <w:rFonts w:ascii="Arial" w:hAnsi="Arial" w:cs="Arial"/>
          <w:color w:val="111111"/>
          <w:sz w:val="15"/>
          <w:szCs w:val="15"/>
          <w:lang w:val="fi-FI"/>
        </w:rPr>
        <w:t>Muutoksilla ei ole vaikutusta konsernitilinpätökseen.</w:t>
      </w:r>
    </w:p>
    <w:p w:rsidR="0031124F" w:rsidRPr="00D2761B" w:rsidP="00150B39" w14:paraId="699C10B7" w14:textId="0A3F4C7F">
      <w:pPr>
        <w:pStyle w:val="Bodytext2"/>
        <w:rPr>
          <w:szCs w:val="15"/>
          <w:lang w:val="fi-FI"/>
        </w:rPr>
      </w:pPr>
      <w:r w:rsidRPr="00D2761B">
        <w:rPr>
          <w:szCs w:val="15"/>
          <w:lang w:val="fi-FI"/>
        </w:rPr>
        <w:t xml:space="preserve">Muutokset standardiin IAS 37 </w:t>
      </w:r>
      <w:r w:rsidRPr="00D2761B" w:rsidR="00287123">
        <w:rPr>
          <w:szCs w:val="15"/>
          <w:lang w:val="fi-FI"/>
        </w:rPr>
        <w:t>Varaukset, ehdolliset velat ja ehdolliset varat* (sovellettava 1.1.2022 tai sen jälkeen alkavilla tilikausilla). Muutokset täsmentävät</w:t>
      </w:r>
      <w:r w:rsidRPr="00D2761B" w:rsidR="0062726D">
        <w:rPr>
          <w:szCs w:val="15"/>
          <w:lang w:val="fi-FI"/>
        </w:rPr>
        <w:t xml:space="preserve"> niitä kuluja, jotka </w:t>
      </w:r>
      <w:r w:rsidRPr="00D2761B" w:rsidR="00287123">
        <w:rPr>
          <w:szCs w:val="15"/>
          <w:lang w:val="fi-FI"/>
        </w:rPr>
        <w:t xml:space="preserve">yhteisön pitää </w:t>
      </w:r>
      <w:r w:rsidRPr="00D2761B" w:rsidR="0062726D">
        <w:rPr>
          <w:szCs w:val="15"/>
          <w:lang w:val="fi-FI"/>
        </w:rPr>
        <w:t>huomioida</w:t>
      </w:r>
      <w:r w:rsidRPr="00D2761B" w:rsidR="00287123">
        <w:rPr>
          <w:szCs w:val="15"/>
          <w:lang w:val="fi-FI"/>
        </w:rPr>
        <w:t xml:space="preserve"> arvioidessaan sopimu</w:t>
      </w:r>
      <w:r w:rsidRPr="00D2761B" w:rsidR="00030068">
        <w:rPr>
          <w:szCs w:val="15"/>
          <w:lang w:val="fi-FI"/>
        </w:rPr>
        <w:t>ksen</w:t>
      </w:r>
      <w:r w:rsidRPr="00D2761B" w:rsidR="00287123">
        <w:rPr>
          <w:szCs w:val="15"/>
          <w:lang w:val="fi-FI"/>
        </w:rPr>
        <w:t xml:space="preserve"> tappioll</w:t>
      </w:r>
      <w:r w:rsidRPr="00D2761B" w:rsidR="0062726D">
        <w:rPr>
          <w:szCs w:val="15"/>
          <w:lang w:val="fi-FI"/>
        </w:rPr>
        <w:t>isuutta</w:t>
      </w:r>
      <w:r w:rsidRPr="00D2761B" w:rsidR="00287123">
        <w:rPr>
          <w:szCs w:val="15"/>
          <w:lang w:val="fi-FI"/>
        </w:rPr>
        <w:t>.</w:t>
      </w:r>
      <w:r w:rsidRPr="00D2761B" w:rsidR="0062726D">
        <w:rPr>
          <w:szCs w:val="15"/>
          <w:lang w:val="fi-FI"/>
        </w:rPr>
        <w:t xml:space="preserve"> </w:t>
      </w:r>
      <w:r w:rsidRPr="00D2761B" w:rsidR="00CB4CF7">
        <w:rPr>
          <w:szCs w:val="15"/>
          <w:lang w:val="fi-FI"/>
        </w:rPr>
        <w:t>Muutosten</w:t>
      </w:r>
      <w:r w:rsidRPr="00D2761B" w:rsidR="0062726D">
        <w:rPr>
          <w:szCs w:val="15"/>
          <w:lang w:val="fi-FI"/>
        </w:rPr>
        <w:t xml:space="preserve"> on tarkoitus </w:t>
      </w:r>
      <w:r w:rsidRPr="00D2761B" w:rsidR="00030068">
        <w:rPr>
          <w:szCs w:val="15"/>
          <w:lang w:val="fi-FI"/>
        </w:rPr>
        <w:t xml:space="preserve">tuoda selkeyttä </w:t>
      </w:r>
      <w:r w:rsidRPr="00D2761B" w:rsidR="0062726D">
        <w:rPr>
          <w:szCs w:val="15"/>
          <w:lang w:val="fi-FI"/>
        </w:rPr>
        <w:t>ja a</w:t>
      </w:r>
      <w:r w:rsidRPr="00D2761B" w:rsidR="00030068">
        <w:rPr>
          <w:szCs w:val="15"/>
          <w:lang w:val="fi-FI"/>
        </w:rPr>
        <w:t>pua</w:t>
      </w:r>
      <w:r w:rsidRPr="00D2761B" w:rsidR="0062726D">
        <w:rPr>
          <w:szCs w:val="15"/>
          <w:lang w:val="fi-FI"/>
        </w:rPr>
        <w:t xml:space="preserve"> standardin yhdenmukai</w:t>
      </w:r>
      <w:r w:rsidRPr="00D2761B" w:rsidR="00030068">
        <w:rPr>
          <w:szCs w:val="15"/>
          <w:lang w:val="fi-FI"/>
        </w:rPr>
        <w:t>seen</w:t>
      </w:r>
      <w:r w:rsidRPr="00D2761B" w:rsidR="0062726D">
        <w:rPr>
          <w:szCs w:val="15"/>
          <w:lang w:val="fi-FI"/>
        </w:rPr>
        <w:t xml:space="preserve"> soveltamise</w:t>
      </w:r>
      <w:r w:rsidRPr="00D2761B" w:rsidR="00030068">
        <w:rPr>
          <w:szCs w:val="15"/>
          <w:lang w:val="fi-FI"/>
        </w:rPr>
        <w:t>en</w:t>
      </w:r>
      <w:r w:rsidRPr="00D2761B" w:rsidR="00CB4CF7">
        <w:rPr>
          <w:szCs w:val="15"/>
          <w:lang w:val="fi-FI"/>
        </w:rPr>
        <w:t xml:space="preserve">, ja niissä </w:t>
      </w:r>
      <w:r w:rsidRPr="00D2761B" w:rsidR="0062726D">
        <w:rPr>
          <w:szCs w:val="15"/>
          <w:lang w:val="fi-FI"/>
        </w:rPr>
        <w:t>käyt</w:t>
      </w:r>
      <w:r w:rsidRPr="00D2761B">
        <w:rPr>
          <w:szCs w:val="15"/>
          <w:lang w:val="fi-FI"/>
        </w:rPr>
        <w:t>etään</w:t>
      </w:r>
      <w:r w:rsidRPr="00D2761B" w:rsidR="0062726D">
        <w:rPr>
          <w:szCs w:val="15"/>
          <w:lang w:val="fi-FI"/>
        </w:rPr>
        <w:t xml:space="preserve"> välittömien kulujen lähestymistapaa. </w:t>
      </w:r>
      <w:r w:rsidRPr="00D2761B">
        <w:rPr>
          <w:szCs w:val="15"/>
          <w:lang w:val="fi-FI"/>
        </w:rPr>
        <w:t>Tavaroiden tai palvelujen toimittamisesta tehtyyn sopimukseen välittömästi liittyvät kulut sisältävät sekä lisä</w:t>
      </w:r>
      <w:r w:rsidRPr="00D2761B" w:rsidR="00030068">
        <w:rPr>
          <w:szCs w:val="15"/>
          <w:lang w:val="fi-FI"/>
        </w:rPr>
        <w:t>menoja</w:t>
      </w:r>
      <w:r w:rsidRPr="00D2761B">
        <w:rPr>
          <w:szCs w:val="15"/>
          <w:lang w:val="fi-FI"/>
        </w:rPr>
        <w:t xml:space="preserve"> että </w:t>
      </w:r>
      <w:r w:rsidRPr="00D2761B" w:rsidR="00030068">
        <w:rPr>
          <w:szCs w:val="15"/>
          <w:lang w:val="fi-FI"/>
        </w:rPr>
        <w:t xml:space="preserve">kohdennettuja </w:t>
      </w:r>
      <w:r w:rsidRPr="00D2761B">
        <w:rPr>
          <w:szCs w:val="15"/>
          <w:lang w:val="fi-FI"/>
        </w:rPr>
        <w:t>sopimustoimintaan välittömästi liittyvi</w:t>
      </w:r>
      <w:r w:rsidRPr="00D2761B" w:rsidR="00030068">
        <w:rPr>
          <w:szCs w:val="15"/>
          <w:lang w:val="fi-FI"/>
        </w:rPr>
        <w:t>ä</w:t>
      </w:r>
      <w:r w:rsidRPr="00D2761B">
        <w:rPr>
          <w:szCs w:val="15"/>
          <w:lang w:val="fi-FI"/>
        </w:rPr>
        <w:t xml:space="preserve"> </w:t>
      </w:r>
      <w:r w:rsidRPr="00D2761B" w:rsidR="00030068">
        <w:rPr>
          <w:szCs w:val="15"/>
          <w:lang w:val="fi-FI"/>
        </w:rPr>
        <w:t>kuluja.</w:t>
      </w:r>
      <w:r w:rsidRPr="00D2761B">
        <w:rPr>
          <w:szCs w:val="15"/>
          <w:lang w:val="fi-FI"/>
        </w:rPr>
        <w:t xml:space="preserve"> Sopimustoimintaan välittömästi liittyvien ku</w:t>
      </w:r>
      <w:r w:rsidRPr="00D2761B" w:rsidR="00030068">
        <w:rPr>
          <w:szCs w:val="15"/>
          <w:lang w:val="fi-FI"/>
        </w:rPr>
        <w:t>lujen</w:t>
      </w:r>
      <w:r w:rsidRPr="00D2761B">
        <w:rPr>
          <w:szCs w:val="15"/>
          <w:lang w:val="fi-FI"/>
        </w:rPr>
        <w:t xml:space="preserve"> määrittely edellyttää harkintaa. Muutoksilla ei odoteta olevan vaikutusta konserni</w:t>
      </w:r>
      <w:r w:rsidRPr="00D2761B">
        <w:rPr>
          <w:szCs w:val="15"/>
          <w:lang w:val="fi-FI"/>
        </w:rPr>
        <w:t>tilinpäätökseen.</w:t>
      </w:r>
    </w:p>
    <w:p w:rsidR="00871B13" w:rsidRPr="00D2761B" w:rsidP="00150B39" w14:paraId="68662831" w14:textId="3220BC6A">
      <w:pPr>
        <w:pStyle w:val="Bodytext2"/>
        <w:rPr>
          <w:szCs w:val="15"/>
          <w:lang w:val="fi-FI"/>
        </w:rPr>
      </w:pPr>
    </w:p>
    <w:p w:rsidR="00696EA8" w:rsidP="00D006E1" w14:paraId="424ADF55" w14:textId="27C2E21F">
      <w:pPr>
        <w:pStyle w:val="Bodytext2"/>
        <w:rPr>
          <w:szCs w:val="15"/>
          <w:lang w:val="fi-FI"/>
        </w:rPr>
      </w:pPr>
      <w:r w:rsidRPr="00D2761B">
        <w:rPr>
          <w:szCs w:val="15"/>
          <w:lang w:val="fi-FI"/>
        </w:rPr>
        <w:t>Muutokset standardiin IAS 16 Aineelliset käyttöoikeushyödykkeet* (sovellettava 1.1.2022 tai sen jälkeen alkavilla tilikausilla). Muutokset kieltävät yhte</w:t>
      </w:r>
      <w:r w:rsidRPr="00D2761B">
        <w:rPr>
          <w:szCs w:val="15"/>
          <w:lang w:val="fi-FI"/>
        </w:rPr>
        <w:t xml:space="preserve">isöjä vähentämästä </w:t>
      </w:r>
      <w:r w:rsidRPr="00D2761B" w:rsidR="003B76B0">
        <w:rPr>
          <w:szCs w:val="15"/>
          <w:lang w:val="fi-FI"/>
        </w:rPr>
        <w:t xml:space="preserve">aineellisen käyttöomaisuushyödykkeen hankintamenosta </w:t>
      </w:r>
      <w:r w:rsidRPr="00D2761B" w:rsidR="00CB4CF7">
        <w:rPr>
          <w:szCs w:val="15"/>
          <w:lang w:val="fi-FI"/>
        </w:rPr>
        <w:t xml:space="preserve">mitään </w:t>
      </w:r>
      <w:r w:rsidRPr="00D2761B" w:rsidR="003B76B0">
        <w:rPr>
          <w:szCs w:val="15"/>
          <w:lang w:val="fi-FI"/>
        </w:rPr>
        <w:t xml:space="preserve">tuottoja myydyistä hyödykkeistä, jotka on </w:t>
      </w:r>
      <w:r w:rsidRPr="00D2761B">
        <w:rPr>
          <w:szCs w:val="15"/>
          <w:lang w:val="fi-FI"/>
        </w:rPr>
        <w:t>tuotettu sinä aikana kun omaisuuserää on saatettu sellaiseen paikkaan ja kuntoon, että se pystyy toimimaan johdon tarkoittamalla tavall</w:t>
      </w:r>
      <w:r w:rsidRPr="00D2761B">
        <w:rPr>
          <w:szCs w:val="15"/>
          <w:lang w:val="fi-FI"/>
        </w:rPr>
        <w:t xml:space="preserve">a. </w:t>
      </w:r>
      <w:r w:rsidRPr="00D2761B" w:rsidR="00197545">
        <w:rPr>
          <w:szCs w:val="15"/>
          <w:lang w:val="fi-FI"/>
        </w:rPr>
        <w:t>S</w:t>
      </w:r>
      <w:r w:rsidRPr="00D2761B">
        <w:rPr>
          <w:szCs w:val="15"/>
          <w:lang w:val="fi-FI"/>
        </w:rPr>
        <w:t xml:space="preserve">ellaisten hyödykkeiden </w:t>
      </w:r>
      <w:r w:rsidRPr="00D2761B" w:rsidR="00197545">
        <w:rPr>
          <w:szCs w:val="15"/>
          <w:lang w:val="fi-FI"/>
        </w:rPr>
        <w:t>myyntituotot ja</w:t>
      </w:r>
      <w:r w:rsidRPr="00D2761B">
        <w:rPr>
          <w:szCs w:val="15"/>
          <w:lang w:val="fi-FI"/>
        </w:rPr>
        <w:t xml:space="preserve"> valmistuskulut kirjataan tuloslaskelmaan. Muutoksilla ei ole vaikutusta konserni</w:t>
      </w:r>
      <w:r w:rsidRPr="00D2761B">
        <w:rPr>
          <w:szCs w:val="15"/>
          <w:lang w:val="fi-FI"/>
        </w:rPr>
        <w:t>tilinpäätökseen</w:t>
      </w:r>
      <w:r w:rsidRPr="00D2761B" w:rsidR="00197545">
        <w:rPr>
          <w:szCs w:val="15"/>
          <w:lang w:val="fi-FI"/>
        </w:rPr>
        <w:t>.</w:t>
      </w:r>
    </w:p>
    <w:p w:rsidR="00696EA8" w:rsidRPr="00871B13" w:rsidP="00D006E1" w14:paraId="28560A73" w14:textId="77777777">
      <w:pPr>
        <w:pStyle w:val="Bodytext2"/>
        <w:rPr>
          <w:highlight w:val="red"/>
          <w:lang w:val="fi-FI"/>
        </w:rPr>
      </w:pPr>
    </w:p>
    <w:p w:rsidR="00D006E1" w:rsidP="00D006E1" w14:paraId="590F3AFF" w14:textId="7BE67CB4">
      <w:pPr>
        <w:pStyle w:val="Bodytext2"/>
        <w:rPr>
          <w:lang w:val="fi-FI"/>
        </w:rPr>
      </w:pPr>
      <w:r w:rsidRPr="00A20198">
        <w:rPr>
          <w:lang w:val="fi-FI"/>
        </w:rPr>
        <w:t>IFRS 17 Vakuutussopimukset* (sovellettava 1.1.2023 tai sen jälkeen alkavilla tilikausilla). IFRS 17 koskee kaiken</w:t>
      </w:r>
      <w:r w:rsidRPr="00A20198">
        <w:rPr>
          <w:lang w:val="fi-FI"/>
        </w:rPr>
        <w:t>tyyppisiä vakuutussopimuksia (ensivakuutukset ja jälleenvakuutus) riippumatta vakuutuksenantajan tyypistä sekä tiettyjä takuita ja rahoitusinstrumentteja, joissa on harkinnanvaraisia osallistumisominaisuuksia. Yleisenä tavoitteena on yhdenmukaistaa vakuutu</w:t>
      </w:r>
      <w:r w:rsidRPr="00A20198">
        <w:rPr>
          <w:lang w:val="fi-FI"/>
        </w:rPr>
        <w:t>ssopimusten kirjanpitokäsittelyä. Konserni arvioi standardin vaikutuksia parhaillaan.</w:t>
      </w:r>
    </w:p>
    <w:p w:rsidR="00150B39" w:rsidRPr="00D006E1" w:rsidP="00D006E1" w14:paraId="544B0EE2" w14:textId="77777777">
      <w:pPr>
        <w:pStyle w:val="Bodytext2"/>
        <w:rPr>
          <w:lang w:val="fi-FI"/>
        </w:rPr>
      </w:pPr>
    </w:p>
    <w:p w:rsidR="00D006E1" w:rsidP="00D006E1" w14:paraId="204DEC91" w14:textId="367C3C1D">
      <w:pPr>
        <w:pStyle w:val="Bodytext2"/>
        <w:rPr>
          <w:lang w:val="fi-FI"/>
        </w:rPr>
      </w:pPr>
      <w:r w:rsidRPr="00D006E1">
        <w:rPr>
          <w:lang w:val="fi-FI"/>
        </w:rPr>
        <w:t>* Kyseistä säännöstä ei ole hyväksytty sovellettavaksi EU:ssa 3</w:t>
      </w:r>
      <w:r w:rsidR="00150B39">
        <w:rPr>
          <w:lang w:val="fi-FI"/>
        </w:rPr>
        <w:t>1</w:t>
      </w:r>
      <w:r w:rsidRPr="00D006E1">
        <w:rPr>
          <w:lang w:val="fi-FI"/>
        </w:rPr>
        <w:t>.</w:t>
      </w:r>
      <w:r w:rsidR="00150B39">
        <w:rPr>
          <w:lang w:val="fi-FI"/>
        </w:rPr>
        <w:t>12</w:t>
      </w:r>
      <w:r w:rsidRPr="00D006E1">
        <w:rPr>
          <w:lang w:val="fi-FI"/>
        </w:rPr>
        <w:t>.2020.</w:t>
      </w:r>
    </w:p>
    <w:p w:rsidR="00150B39" w:rsidP="00D006E1" w14:paraId="571AED70" w14:textId="3F13D7C6">
      <w:pPr>
        <w:pStyle w:val="Bodytext2"/>
        <w:rPr>
          <w:lang w:val="fi-FI"/>
        </w:rPr>
      </w:pPr>
    </w:p>
    <w:p w:rsidR="00150B39" w:rsidRPr="00612800" w:rsidP="00150B39" w14:paraId="5668A050" w14:textId="64F2FCD1">
      <w:pPr>
        <w:pStyle w:val="Heading12"/>
        <w:rPr>
          <w:color w:val="auto"/>
          <w:lang w:val="fi-FI"/>
        </w:rPr>
      </w:pPr>
      <w:r w:rsidRPr="00612800">
        <w:rPr>
          <w:color w:val="auto"/>
          <w:lang w:val="fi-FI"/>
        </w:rPr>
        <w:t>1.4. JOHDON HARKINTAAN PERUSTUVAT RATKAISUT JA ARVIOIDEN KÄYTTÖ</w:t>
      </w:r>
    </w:p>
    <w:p w:rsidR="00150B39" w:rsidRPr="00612800" w:rsidP="00150B39" w14:paraId="1D59BE03" w14:textId="287B669D">
      <w:pPr>
        <w:pStyle w:val="Bodytext2"/>
        <w:rPr>
          <w:color w:val="auto"/>
          <w:szCs w:val="15"/>
          <w:lang w:val="fi-FI"/>
        </w:rPr>
      </w:pPr>
      <w:r w:rsidRPr="00612800">
        <w:rPr>
          <w:color w:val="auto"/>
          <w:lang w:val="fi-FI"/>
        </w:rPr>
        <w:t>Tilinpäätöksen laatiminen IFRS</w:t>
      </w:r>
      <w:r w:rsidRPr="00612800">
        <w:rPr>
          <w:color w:val="auto"/>
          <w:lang w:val="fi-FI"/>
        </w:rPr>
        <w:t>:n mukaan edellyttää yrityksen johdolta harkintaan perustuvia ratkaisuja sekä arvioita ja oletuksia, jotka vaikuttavat taseen varoihin ja velkoihin sekä muihin tietoihin, kuten ehdollisten varojen ja velkojen raportointiin sekä tuottojen ja kulujen määriin</w:t>
      </w:r>
      <w:r w:rsidRPr="00612800">
        <w:rPr>
          <w:color w:val="auto"/>
          <w:lang w:val="fi-FI"/>
        </w:rPr>
        <w:t xml:space="preserve">. </w:t>
      </w:r>
      <w:r w:rsidRPr="00612800" w:rsidR="00FC62A1">
        <w:rPr>
          <w:color w:val="auto"/>
          <w:lang w:val="fi-FI"/>
        </w:rPr>
        <w:t>Vaikka nämä jatkuvan arvioinnin alla olevat harkintaan perustuvat ratkaisut ja arviot pohjautuvat johdon kokemukseen menneestä sekä parhaaseen näkemykseen nykyhetken tapahtumista ja tulevasta, lopputulemat saattavat erota arvioista.</w:t>
      </w:r>
    </w:p>
    <w:p w:rsidR="00150B39" w:rsidRPr="00612800" w:rsidP="00150B39" w14:paraId="16DB38A2" w14:textId="77777777">
      <w:pPr>
        <w:pStyle w:val="Bodytext2"/>
        <w:rPr>
          <w:color w:val="auto"/>
          <w:szCs w:val="15"/>
          <w:lang w:val="fi-FI"/>
        </w:rPr>
      </w:pPr>
    </w:p>
    <w:p w:rsidR="00C366B1" w:rsidRPr="00612800" w:rsidP="00150B39" w14:paraId="4E9F9FE6" w14:textId="21361728">
      <w:pPr>
        <w:pStyle w:val="Bodytext2"/>
        <w:rPr>
          <w:color w:val="auto"/>
          <w:szCs w:val="15"/>
          <w:lang w:val="fi-FI"/>
        </w:rPr>
      </w:pPr>
      <w:r w:rsidRPr="00612800">
        <w:rPr>
          <w:color w:val="auto"/>
          <w:szCs w:val="15"/>
          <w:lang w:val="fi-FI"/>
        </w:rPr>
        <w:t>Olennaisimmat Wärtsilän johdon harkintaan perustuvia arvioita ja oletuksia edellyttävät erät on listattu alla. Lisätietoa saatavilla vastaavista liitetiedoista.</w:t>
      </w:r>
    </w:p>
    <w:p w:rsidR="00C366B1" w:rsidRPr="00C366B1" w:rsidP="00150B39" w14:paraId="20D60451" w14:textId="77777777">
      <w:pPr>
        <w:pStyle w:val="Bodytext2"/>
        <w:rPr>
          <w:szCs w:val="15"/>
          <w:highlight w:val="yellow"/>
          <w:lang w:val="fi-FI"/>
        </w:rPr>
      </w:pPr>
    </w:p>
    <w:p w:rsidR="00150B39" w:rsidRPr="00C366B1" w:rsidP="00150B39" w14:paraId="0749301F" w14:textId="734AE0AF">
      <w:pPr>
        <w:pStyle w:val="Bodytext2"/>
        <w:numPr>
          <w:ilvl w:val="0"/>
          <w:numId w:val="2"/>
        </w:numPr>
        <w:rPr>
          <w:szCs w:val="15"/>
          <w:lang w:val="fi-FI"/>
        </w:rPr>
      </w:pPr>
      <w:r w:rsidRPr="00C366B1">
        <w:rPr>
          <w:szCs w:val="15"/>
          <w:lang w:val="fi-FI"/>
        </w:rPr>
        <w:t xml:space="preserve">myyntituottojen tuloutus erityisesti pitkäaikaisten hankkeiden ja sopimusten osalta </w:t>
      </w:r>
      <w:r w:rsidRPr="00C366B1" w:rsidR="006775F8">
        <w:rPr>
          <w:szCs w:val="15"/>
          <w:lang w:val="fi-FI"/>
        </w:rPr>
        <w:t>(</w:t>
      </w:r>
      <w:r w:rsidRPr="00C366B1">
        <w:rPr>
          <w:szCs w:val="15"/>
          <w:lang w:val="fi-FI"/>
        </w:rPr>
        <w:t>l</w:t>
      </w:r>
      <w:r w:rsidRPr="00C366B1" w:rsidR="006775F8">
        <w:rPr>
          <w:szCs w:val="15"/>
          <w:lang w:val="fi-FI"/>
        </w:rPr>
        <w:t>iite</w:t>
      </w:r>
      <w:r w:rsidRPr="00C366B1">
        <w:rPr>
          <w:szCs w:val="15"/>
          <w:lang w:val="fi-FI"/>
        </w:rPr>
        <w:t>tiet</w:t>
      </w:r>
      <w:r w:rsidRPr="00C366B1">
        <w:rPr>
          <w:szCs w:val="15"/>
          <w:lang w:val="fi-FI"/>
        </w:rPr>
        <w:t>o</w:t>
      </w:r>
      <w:r w:rsidRPr="00C366B1" w:rsidR="006775F8">
        <w:rPr>
          <w:szCs w:val="15"/>
          <w:lang w:val="fi-FI"/>
        </w:rPr>
        <w:t xml:space="preserve"> 2.2. </w:t>
      </w:r>
      <w:r w:rsidRPr="00C366B1">
        <w:rPr>
          <w:szCs w:val="15"/>
          <w:lang w:val="fi-FI"/>
        </w:rPr>
        <w:t>Myyntitu</w:t>
      </w:r>
      <w:r>
        <w:rPr>
          <w:szCs w:val="15"/>
          <w:lang w:val="fi-FI"/>
        </w:rPr>
        <w:t>ottojen</w:t>
      </w:r>
      <w:r w:rsidRPr="00C366B1">
        <w:rPr>
          <w:szCs w:val="15"/>
          <w:lang w:val="fi-FI"/>
        </w:rPr>
        <w:t xml:space="preserve"> tuloutus</w:t>
      </w:r>
      <w:r w:rsidRPr="00C366B1" w:rsidR="006775F8">
        <w:rPr>
          <w:szCs w:val="15"/>
          <w:lang w:val="fi-FI"/>
        </w:rPr>
        <w:t>),</w:t>
      </w:r>
    </w:p>
    <w:p w:rsidR="00150B39" w:rsidRPr="00C366B1" w:rsidP="00150B39" w14:paraId="1DC7D33B" w14:textId="6DD64582">
      <w:pPr>
        <w:pStyle w:val="Bodytext2"/>
        <w:numPr>
          <w:ilvl w:val="0"/>
          <w:numId w:val="2"/>
        </w:numPr>
        <w:rPr>
          <w:szCs w:val="15"/>
        </w:rPr>
      </w:pPr>
      <w:r w:rsidRPr="00C366B1">
        <w:rPr>
          <w:szCs w:val="15"/>
        </w:rPr>
        <w:t xml:space="preserve">epävarmat veropositiot </w:t>
      </w:r>
      <w:r w:rsidRPr="00C366B1" w:rsidR="006775F8">
        <w:rPr>
          <w:szCs w:val="15"/>
        </w:rPr>
        <w:t>(</w:t>
      </w:r>
      <w:r w:rsidRPr="00C366B1">
        <w:rPr>
          <w:szCs w:val="15"/>
        </w:rPr>
        <w:t>l</w:t>
      </w:r>
      <w:r w:rsidRPr="00C366B1" w:rsidR="006775F8">
        <w:rPr>
          <w:szCs w:val="15"/>
        </w:rPr>
        <w:t>iite</w:t>
      </w:r>
      <w:r w:rsidRPr="00C366B1">
        <w:rPr>
          <w:szCs w:val="15"/>
        </w:rPr>
        <w:t>tieto</w:t>
      </w:r>
      <w:r w:rsidRPr="00C366B1" w:rsidR="006775F8">
        <w:rPr>
          <w:szCs w:val="15"/>
        </w:rPr>
        <w:t xml:space="preserve"> 2.6. </w:t>
      </w:r>
      <w:r w:rsidRPr="00C366B1">
        <w:rPr>
          <w:szCs w:val="15"/>
        </w:rPr>
        <w:t>Tuloverot</w:t>
      </w:r>
      <w:r w:rsidRPr="00C366B1" w:rsidR="006775F8">
        <w:rPr>
          <w:szCs w:val="15"/>
        </w:rPr>
        <w:t>),</w:t>
      </w:r>
    </w:p>
    <w:p w:rsidR="00150B39" w:rsidRPr="00C366B1" w:rsidP="00150B39" w14:paraId="15FF3A3B" w14:textId="06591586">
      <w:pPr>
        <w:pStyle w:val="Bodytext2"/>
        <w:numPr>
          <w:ilvl w:val="0"/>
          <w:numId w:val="2"/>
        </w:numPr>
        <w:rPr>
          <w:szCs w:val="15"/>
        </w:rPr>
      </w:pPr>
      <w:r w:rsidRPr="00C366B1">
        <w:rPr>
          <w:szCs w:val="15"/>
        </w:rPr>
        <w:t xml:space="preserve">arvonalentumistestaus </w:t>
      </w:r>
      <w:r w:rsidRPr="00C366B1" w:rsidR="006775F8">
        <w:rPr>
          <w:szCs w:val="15"/>
        </w:rPr>
        <w:t>(</w:t>
      </w:r>
      <w:r w:rsidRPr="00C366B1">
        <w:rPr>
          <w:szCs w:val="15"/>
        </w:rPr>
        <w:t>l</w:t>
      </w:r>
      <w:r w:rsidRPr="00C366B1" w:rsidR="006775F8">
        <w:rPr>
          <w:szCs w:val="15"/>
        </w:rPr>
        <w:t>iite</w:t>
      </w:r>
      <w:r w:rsidRPr="00C366B1">
        <w:rPr>
          <w:szCs w:val="15"/>
        </w:rPr>
        <w:t>tieto</w:t>
      </w:r>
      <w:r w:rsidRPr="00C366B1" w:rsidR="006775F8">
        <w:rPr>
          <w:szCs w:val="15"/>
        </w:rPr>
        <w:t xml:space="preserve"> 3.1. </w:t>
      </w:r>
      <w:r w:rsidR="00FC62A1">
        <w:rPr>
          <w:szCs w:val="15"/>
        </w:rPr>
        <w:t>Liikearvo</w:t>
      </w:r>
      <w:r w:rsidRPr="00C366B1" w:rsidR="006775F8">
        <w:rPr>
          <w:szCs w:val="15"/>
        </w:rPr>
        <w:t>),</w:t>
      </w:r>
    </w:p>
    <w:p w:rsidR="00150B39" w:rsidRPr="00FC62A1" w:rsidP="00150B39" w14:paraId="7B699AF5" w14:textId="02FEB076">
      <w:pPr>
        <w:pStyle w:val="Bodytext2"/>
        <w:numPr>
          <w:ilvl w:val="0"/>
          <w:numId w:val="2"/>
        </w:numPr>
        <w:rPr>
          <w:szCs w:val="15"/>
          <w:lang w:val="fi-FI"/>
        </w:rPr>
      </w:pPr>
      <w:r w:rsidRPr="00FC62A1">
        <w:rPr>
          <w:szCs w:val="15"/>
          <w:lang w:val="fi-FI"/>
        </w:rPr>
        <w:t>taloudellisten vaikutusaikojen ja arvo</w:t>
      </w:r>
      <w:r>
        <w:rPr>
          <w:szCs w:val="15"/>
          <w:lang w:val="fi-FI"/>
        </w:rPr>
        <w:t>nalentumistappioiden viitteiden a</w:t>
      </w:r>
      <w:r w:rsidRPr="00FC62A1">
        <w:rPr>
          <w:szCs w:val="15"/>
          <w:lang w:val="fi-FI"/>
        </w:rPr>
        <w:t>rviointi</w:t>
      </w:r>
      <w:r w:rsidRPr="00FC62A1" w:rsidR="006775F8">
        <w:rPr>
          <w:szCs w:val="15"/>
          <w:lang w:val="fi-FI"/>
        </w:rPr>
        <w:t xml:space="preserve"> (</w:t>
      </w:r>
      <w:r w:rsidRPr="00FC62A1" w:rsidR="00C366B1">
        <w:rPr>
          <w:szCs w:val="15"/>
          <w:lang w:val="fi-FI"/>
        </w:rPr>
        <w:t>l</w:t>
      </w:r>
      <w:r w:rsidRPr="00FC62A1" w:rsidR="006775F8">
        <w:rPr>
          <w:szCs w:val="15"/>
          <w:lang w:val="fi-FI"/>
        </w:rPr>
        <w:t>iite</w:t>
      </w:r>
      <w:r w:rsidRPr="00FC62A1" w:rsidR="00C366B1">
        <w:rPr>
          <w:szCs w:val="15"/>
          <w:lang w:val="fi-FI"/>
        </w:rPr>
        <w:t>tiedot</w:t>
      </w:r>
      <w:r w:rsidRPr="00FC62A1" w:rsidR="006775F8">
        <w:rPr>
          <w:szCs w:val="15"/>
          <w:lang w:val="fi-FI"/>
        </w:rPr>
        <w:t xml:space="preserve"> 3.2. </w:t>
      </w:r>
      <w:r w:rsidRPr="00FC62A1" w:rsidR="00C366B1">
        <w:rPr>
          <w:szCs w:val="15"/>
          <w:lang w:val="fi-FI"/>
        </w:rPr>
        <w:t>Muut aineettomat hyödykkeet ja</w:t>
      </w:r>
      <w:r w:rsidRPr="00FC62A1" w:rsidR="006775F8">
        <w:rPr>
          <w:szCs w:val="15"/>
          <w:lang w:val="fi-FI"/>
        </w:rPr>
        <w:t xml:space="preserve"> 3.3. </w:t>
      </w:r>
      <w:r w:rsidRPr="00FC62A1" w:rsidR="00C366B1">
        <w:rPr>
          <w:szCs w:val="15"/>
          <w:lang w:val="fi-FI"/>
        </w:rPr>
        <w:t>Aineelliset hyödykkeet</w:t>
      </w:r>
      <w:r w:rsidRPr="00FC62A1" w:rsidR="006775F8">
        <w:rPr>
          <w:szCs w:val="15"/>
          <w:lang w:val="fi-FI"/>
        </w:rPr>
        <w:t>),</w:t>
      </w:r>
    </w:p>
    <w:p w:rsidR="00150B39" w:rsidRPr="00186455" w:rsidP="00150B39" w14:paraId="1D6AABAE" w14:textId="00DB4ED6">
      <w:pPr>
        <w:pStyle w:val="Bodytext2"/>
        <w:numPr>
          <w:ilvl w:val="0"/>
          <w:numId w:val="2"/>
        </w:numPr>
        <w:rPr>
          <w:szCs w:val="15"/>
          <w:lang w:val="fi-FI"/>
        </w:rPr>
      </w:pPr>
      <w:r w:rsidRPr="00186455">
        <w:rPr>
          <w:szCs w:val="15"/>
          <w:lang w:val="fi-FI"/>
        </w:rPr>
        <w:t>vuokrasopimus</w:t>
      </w:r>
      <w:r>
        <w:rPr>
          <w:szCs w:val="15"/>
          <w:lang w:val="fi-FI"/>
        </w:rPr>
        <w:t>ten vuokra-aikojen</w:t>
      </w:r>
      <w:r w:rsidRPr="00186455">
        <w:rPr>
          <w:szCs w:val="15"/>
          <w:lang w:val="fi-FI"/>
        </w:rPr>
        <w:t xml:space="preserve"> määrittely</w:t>
      </w:r>
      <w:r w:rsidRPr="00186455" w:rsidR="006775F8">
        <w:rPr>
          <w:szCs w:val="15"/>
          <w:lang w:val="fi-FI"/>
        </w:rPr>
        <w:t xml:space="preserve"> (</w:t>
      </w:r>
      <w:r w:rsidRPr="00186455">
        <w:rPr>
          <w:szCs w:val="15"/>
          <w:lang w:val="fi-FI"/>
        </w:rPr>
        <w:t>l</w:t>
      </w:r>
      <w:r w:rsidRPr="00186455" w:rsidR="006775F8">
        <w:rPr>
          <w:szCs w:val="15"/>
          <w:lang w:val="fi-FI"/>
        </w:rPr>
        <w:t>iite</w:t>
      </w:r>
      <w:r w:rsidRPr="00186455">
        <w:rPr>
          <w:szCs w:val="15"/>
          <w:lang w:val="fi-FI"/>
        </w:rPr>
        <w:t>tieto</w:t>
      </w:r>
      <w:r w:rsidRPr="00186455" w:rsidR="006775F8">
        <w:rPr>
          <w:szCs w:val="15"/>
          <w:lang w:val="fi-FI"/>
        </w:rPr>
        <w:t xml:space="preserve"> 3.4. </w:t>
      </w:r>
      <w:r w:rsidRPr="00186455">
        <w:rPr>
          <w:szCs w:val="15"/>
          <w:lang w:val="fi-FI"/>
        </w:rPr>
        <w:t>Vuokrasopimukset</w:t>
      </w:r>
      <w:r w:rsidRPr="00186455" w:rsidR="006775F8">
        <w:rPr>
          <w:szCs w:val="15"/>
          <w:lang w:val="fi-FI"/>
        </w:rPr>
        <w:t>),</w:t>
      </w:r>
    </w:p>
    <w:p w:rsidR="00150B39" w:rsidRPr="00186455" w:rsidP="00150B39" w14:paraId="204903A9" w14:textId="21BA50F5">
      <w:pPr>
        <w:pStyle w:val="Bodytext2"/>
        <w:numPr>
          <w:ilvl w:val="0"/>
          <w:numId w:val="2"/>
        </w:numPr>
        <w:rPr>
          <w:szCs w:val="15"/>
          <w:lang w:val="fi-FI"/>
        </w:rPr>
      </w:pPr>
      <w:r w:rsidRPr="00186455">
        <w:rPr>
          <w:szCs w:val="15"/>
          <w:lang w:val="fi-FI"/>
        </w:rPr>
        <w:t>varastojen arvostaminen</w:t>
      </w:r>
      <w:r w:rsidRPr="00186455" w:rsidR="006775F8">
        <w:rPr>
          <w:szCs w:val="15"/>
          <w:lang w:val="fi-FI"/>
        </w:rPr>
        <w:t xml:space="preserve"> (</w:t>
      </w:r>
      <w:r w:rsidRPr="00186455">
        <w:rPr>
          <w:szCs w:val="15"/>
          <w:lang w:val="fi-FI"/>
        </w:rPr>
        <w:t>l</w:t>
      </w:r>
      <w:r w:rsidRPr="00186455" w:rsidR="006775F8">
        <w:rPr>
          <w:szCs w:val="15"/>
          <w:lang w:val="fi-FI"/>
        </w:rPr>
        <w:t>iite</w:t>
      </w:r>
      <w:r w:rsidRPr="00186455">
        <w:rPr>
          <w:szCs w:val="15"/>
          <w:lang w:val="fi-FI"/>
        </w:rPr>
        <w:t>tieto</w:t>
      </w:r>
      <w:r w:rsidRPr="00186455" w:rsidR="006775F8">
        <w:rPr>
          <w:szCs w:val="15"/>
          <w:lang w:val="fi-FI"/>
        </w:rPr>
        <w:t xml:space="preserve"> 4.1. </w:t>
      </w:r>
      <w:r w:rsidRPr="00186455">
        <w:rPr>
          <w:szCs w:val="15"/>
          <w:lang w:val="fi-FI"/>
        </w:rPr>
        <w:t>Vaihto-omaisuus</w:t>
      </w:r>
      <w:r w:rsidRPr="00186455" w:rsidR="006775F8">
        <w:rPr>
          <w:szCs w:val="15"/>
          <w:lang w:val="fi-FI"/>
        </w:rPr>
        <w:t>),</w:t>
      </w:r>
    </w:p>
    <w:p w:rsidR="00150B39" w:rsidRPr="00186455" w:rsidP="00150B39" w14:paraId="2C1E2EE1" w14:textId="6A3BDD34">
      <w:pPr>
        <w:pStyle w:val="Bodytext2"/>
        <w:numPr>
          <w:ilvl w:val="0"/>
          <w:numId w:val="2"/>
        </w:numPr>
        <w:rPr>
          <w:szCs w:val="15"/>
          <w:lang w:val="fi-FI"/>
        </w:rPr>
      </w:pPr>
      <w:r>
        <w:rPr>
          <w:szCs w:val="15"/>
          <w:lang w:val="fi-FI"/>
        </w:rPr>
        <w:t>myyntisaamisten arvostaminen</w:t>
      </w:r>
      <w:r w:rsidRPr="00186455" w:rsidR="006775F8">
        <w:rPr>
          <w:szCs w:val="15"/>
          <w:lang w:val="fi-FI"/>
        </w:rPr>
        <w:t xml:space="preserve"> (</w:t>
      </w:r>
      <w:r w:rsidRPr="00186455">
        <w:rPr>
          <w:szCs w:val="15"/>
          <w:lang w:val="fi-FI"/>
        </w:rPr>
        <w:t>l</w:t>
      </w:r>
      <w:r w:rsidRPr="00186455" w:rsidR="006775F8">
        <w:rPr>
          <w:szCs w:val="15"/>
          <w:lang w:val="fi-FI"/>
        </w:rPr>
        <w:t>iite</w:t>
      </w:r>
      <w:r w:rsidRPr="00186455">
        <w:rPr>
          <w:szCs w:val="15"/>
          <w:lang w:val="fi-FI"/>
        </w:rPr>
        <w:t>tieto</w:t>
      </w:r>
      <w:r w:rsidRPr="00186455" w:rsidR="006775F8">
        <w:rPr>
          <w:szCs w:val="15"/>
          <w:lang w:val="fi-FI"/>
        </w:rPr>
        <w:t xml:space="preserve"> 4.2. </w:t>
      </w:r>
      <w:r w:rsidRPr="00186455">
        <w:rPr>
          <w:szCs w:val="15"/>
          <w:lang w:val="fi-FI"/>
        </w:rPr>
        <w:t>Myyntisaamiset j</w:t>
      </w:r>
      <w:r w:rsidRPr="00186455">
        <w:rPr>
          <w:szCs w:val="15"/>
          <w:lang w:val="fi-FI"/>
        </w:rPr>
        <w:t xml:space="preserve">a sopimukseen perustuvat varat ja </w:t>
      </w:r>
      <w:r>
        <w:rPr>
          <w:szCs w:val="15"/>
          <w:lang w:val="fi-FI"/>
        </w:rPr>
        <w:t>velat</w:t>
      </w:r>
      <w:r w:rsidRPr="00186455" w:rsidR="006775F8">
        <w:rPr>
          <w:szCs w:val="15"/>
          <w:lang w:val="fi-FI"/>
        </w:rPr>
        <w:t>),</w:t>
      </w:r>
    </w:p>
    <w:p w:rsidR="00150B39" w:rsidRPr="00186455" w:rsidP="00150B39" w14:paraId="1CF94854" w14:textId="153988EF">
      <w:pPr>
        <w:pStyle w:val="Bodytext2"/>
        <w:numPr>
          <w:ilvl w:val="0"/>
          <w:numId w:val="2"/>
        </w:numPr>
        <w:rPr>
          <w:szCs w:val="15"/>
        </w:rPr>
      </w:pPr>
      <w:r w:rsidRPr="00186455">
        <w:rPr>
          <w:szCs w:val="15"/>
          <w:lang w:val="fi-FI"/>
        </w:rPr>
        <w:t xml:space="preserve">takuuvarausten ja oikeudenkäynteihin liittyvien varausten kirjaaminen </w:t>
      </w:r>
      <w:r w:rsidRPr="00186455" w:rsidR="006775F8">
        <w:rPr>
          <w:szCs w:val="15"/>
          <w:lang w:val="fi-FI"/>
        </w:rPr>
        <w:t>(</w:t>
      </w:r>
      <w:r w:rsidRPr="00186455">
        <w:rPr>
          <w:szCs w:val="15"/>
          <w:lang w:val="fi-FI"/>
        </w:rPr>
        <w:t>l</w:t>
      </w:r>
      <w:r w:rsidRPr="00186455" w:rsidR="006775F8">
        <w:rPr>
          <w:szCs w:val="15"/>
          <w:lang w:val="fi-FI"/>
        </w:rPr>
        <w:t>iite</w:t>
      </w:r>
      <w:r>
        <w:rPr>
          <w:szCs w:val="15"/>
          <w:lang w:val="fi-FI"/>
        </w:rPr>
        <w:t>tieto</w:t>
      </w:r>
      <w:r w:rsidRPr="00186455" w:rsidR="006775F8">
        <w:rPr>
          <w:szCs w:val="15"/>
          <w:lang w:val="fi-FI"/>
        </w:rPr>
        <w:t xml:space="preserve"> 4.5. </w:t>
      </w:r>
      <w:r>
        <w:rPr>
          <w:szCs w:val="15"/>
          <w:lang w:val="fi-FI"/>
        </w:rPr>
        <w:t>Varaukset</w:t>
      </w:r>
      <w:r w:rsidRPr="00186455" w:rsidR="006775F8">
        <w:rPr>
          <w:szCs w:val="15"/>
        </w:rPr>
        <w:t>),</w:t>
      </w:r>
    </w:p>
    <w:p w:rsidR="00150B39" w:rsidRPr="00687B3B" w:rsidP="00150B39" w14:paraId="22588925" w14:textId="2579082C">
      <w:pPr>
        <w:pStyle w:val="Bodytext2"/>
        <w:numPr>
          <w:ilvl w:val="0"/>
          <w:numId w:val="2"/>
        </w:numPr>
        <w:rPr>
          <w:szCs w:val="15"/>
          <w:lang w:val="fi-FI"/>
        </w:rPr>
      </w:pPr>
      <w:r w:rsidRPr="00186455">
        <w:rPr>
          <w:szCs w:val="15"/>
          <w:lang w:val="fi-FI"/>
        </w:rPr>
        <w:t>verotarkastusten lopputulokset ja verotuksen tappioista kirjatt</w:t>
      </w:r>
      <w:r>
        <w:rPr>
          <w:szCs w:val="15"/>
          <w:lang w:val="fi-FI"/>
        </w:rPr>
        <w:t>avat laskennalliset verosaamiset</w:t>
      </w:r>
      <w:r w:rsidRPr="00186455" w:rsidR="006775F8">
        <w:rPr>
          <w:szCs w:val="15"/>
          <w:lang w:val="fi-FI"/>
        </w:rPr>
        <w:t xml:space="preserve"> (</w:t>
      </w:r>
      <w:r>
        <w:rPr>
          <w:szCs w:val="15"/>
          <w:lang w:val="fi-FI"/>
        </w:rPr>
        <w:t>l</w:t>
      </w:r>
      <w:r w:rsidRPr="00186455" w:rsidR="006775F8">
        <w:rPr>
          <w:szCs w:val="15"/>
          <w:lang w:val="fi-FI"/>
        </w:rPr>
        <w:t>iite</w:t>
      </w:r>
      <w:r>
        <w:rPr>
          <w:szCs w:val="15"/>
          <w:lang w:val="fi-FI"/>
        </w:rPr>
        <w:t>tieto</w:t>
      </w:r>
      <w:r w:rsidRPr="00186455" w:rsidR="006775F8">
        <w:rPr>
          <w:szCs w:val="15"/>
          <w:lang w:val="fi-FI"/>
        </w:rPr>
        <w:t xml:space="preserve"> 4.6. </w:t>
      </w:r>
      <w:r w:rsidR="00FC62A1">
        <w:rPr>
          <w:szCs w:val="15"/>
          <w:lang w:val="fi-FI"/>
        </w:rPr>
        <w:t>Laskennalliset verot</w:t>
      </w:r>
      <w:r w:rsidRPr="00687B3B" w:rsidR="006775F8">
        <w:rPr>
          <w:szCs w:val="15"/>
          <w:lang w:val="fi-FI"/>
        </w:rPr>
        <w:t xml:space="preserve">), </w:t>
      </w:r>
      <w:r w:rsidRPr="00687B3B" w:rsidR="00FC62A1">
        <w:rPr>
          <w:szCs w:val="15"/>
          <w:lang w:val="fi-FI"/>
        </w:rPr>
        <w:t>ja</w:t>
      </w:r>
    </w:p>
    <w:p w:rsidR="00150B39" w:rsidRPr="00186455" w:rsidP="00150B39" w14:paraId="399226FC" w14:textId="3DB3E08D">
      <w:pPr>
        <w:pStyle w:val="Bodytext2"/>
        <w:numPr>
          <w:ilvl w:val="0"/>
          <w:numId w:val="2"/>
        </w:numPr>
        <w:rPr>
          <w:szCs w:val="15"/>
          <w:lang w:val="fi-FI"/>
        </w:rPr>
      </w:pPr>
      <w:r w:rsidRPr="00186455">
        <w:rPr>
          <w:szCs w:val="15"/>
          <w:lang w:val="fi-FI"/>
        </w:rPr>
        <w:t xml:space="preserve">eläke-etuusvelvoitteet </w:t>
      </w:r>
      <w:r w:rsidRPr="00186455" w:rsidR="006775F8">
        <w:rPr>
          <w:szCs w:val="15"/>
          <w:lang w:val="fi-FI"/>
        </w:rPr>
        <w:t>(</w:t>
      </w:r>
      <w:r w:rsidRPr="00186455">
        <w:rPr>
          <w:szCs w:val="15"/>
          <w:lang w:val="fi-FI"/>
        </w:rPr>
        <w:t>l</w:t>
      </w:r>
      <w:r w:rsidRPr="00186455" w:rsidR="006775F8">
        <w:rPr>
          <w:szCs w:val="15"/>
          <w:lang w:val="fi-FI"/>
        </w:rPr>
        <w:t>iite</w:t>
      </w:r>
      <w:r>
        <w:rPr>
          <w:szCs w:val="15"/>
          <w:lang w:val="fi-FI"/>
        </w:rPr>
        <w:t>tieto</w:t>
      </w:r>
      <w:r w:rsidRPr="00186455" w:rsidR="006775F8">
        <w:rPr>
          <w:szCs w:val="15"/>
          <w:lang w:val="fi-FI"/>
        </w:rPr>
        <w:t xml:space="preserve"> 4.7. </w:t>
      </w:r>
      <w:r>
        <w:rPr>
          <w:szCs w:val="15"/>
          <w:lang w:val="fi-FI"/>
        </w:rPr>
        <w:t>Eläkevelvoitteet</w:t>
      </w:r>
      <w:r w:rsidRPr="00186455" w:rsidR="006775F8">
        <w:rPr>
          <w:szCs w:val="15"/>
          <w:lang w:val="fi-FI"/>
        </w:rPr>
        <w:t>),</w:t>
      </w:r>
    </w:p>
    <w:p w:rsidR="00150B39" w:rsidRPr="00186455" w:rsidP="00150B39" w14:paraId="36EE6385" w14:textId="77777777">
      <w:pPr>
        <w:pStyle w:val="Bodytext2"/>
        <w:rPr>
          <w:szCs w:val="15"/>
          <w:lang w:val="fi-FI"/>
        </w:rPr>
      </w:pPr>
    </w:p>
    <w:p w:rsidR="00123047" w:rsidP="00150B39" w14:paraId="6E843E9B" w14:textId="7E38D919">
      <w:pPr>
        <w:pStyle w:val="Bodytext2"/>
        <w:rPr>
          <w:szCs w:val="15"/>
          <w:lang w:val="fi-FI"/>
        </w:rPr>
      </w:pPr>
      <w:r w:rsidRPr="00C366B1">
        <w:rPr>
          <w:szCs w:val="15"/>
          <w:lang w:val="fi-FI"/>
        </w:rPr>
        <w:t>Lisäksi liiketoimintojen yhdistämisten kirjanpitokäsittely voi vaatia merkittävää johdon harkintaa (liit</w:t>
      </w:r>
      <w:r w:rsidRPr="00C366B1" w:rsidR="006775F8">
        <w:rPr>
          <w:szCs w:val="15"/>
          <w:lang w:val="fi-FI"/>
        </w:rPr>
        <w:t>e</w:t>
      </w:r>
      <w:r>
        <w:rPr>
          <w:szCs w:val="15"/>
          <w:lang w:val="fi-FI"/>
        </w:rPr>
        <w:t>tieto</w:t>
      </w:r>
      <w:r w:rsidRPr="00C366B1" w:rsidR="006775F8">
        <w:rPr>
          <w:szCs w:val="15"/>
          <w:lang w:val="fi-FI"/>
        </w:rPr>
        <w:t xml:space="preserve"> 6.1. </w:t>
      </w:r>
      <w:r w:rsidRPr="00C366B1">
        <w:rPr>
          <w:szCs w:val="15"/>
          <w:lang w:val="fi-FI"/>
        </w:rPr>
        <w:t>Yrityshankinnat</w:t>
      </w:r>
      <w:r w:rsidRPr="00687B3B" w:rsidR="006775F8">
        <w:rPr>
          <w:szCs w:val="15"/>
          <w:lang w:val="fi-FI"/>
        </w:rPr>
        <w:t>)</w:t>
      </w:r>
      <w:r>
        <w:rPr>
          <w:szCs w:val="15"/>
          <w:lang w:val="fi-FI"/>
        </w:rPr>
        <w:t>.</w:t>
      </w:r>
    </w:p>
    <w:p w:rsidR="00123047" w:rsidP="00150B39" w14:paraId="65ED8286" w14:textId="63B544FD">
      <w:pPr>
        <w:pStyle w:val="Bodytext2"/>
        <w:rPr>
          <w:szCs w:val="15"/>
          <w:lang w:val="fi-FI"/>
        </w:rPr>
      </w:pPr>
    </w:p>
    <w:p w:rsidR="00150B39" w:rsidRPr="000452E2" w:rsidP="00150B39" w14:paraId="7749AAF5" w14:textId="7170969F">
      <w:pPr>
        <w:pStyle w:val="Bodytext2"/>
        <w:rPr>
          <w:sz w:val="2"/>
          <w:szCs w:val="2"/>
          <w:lang w:val="fi-FI"/>
        </w:rPr>
      </w:pPr>
      <w:r w:rsidRPr="00123047">
        <w:rPr>
          <w:lang w:val="fi-FI"/>
        </w:rPr>
        <w:t xml:space="preserve">COVID-19 </w:t>
      </w:r>
      <w:r w:rsidRPr="00123047">
        <w:rPr>
          <w:lang w:val="fi-FI"/>
        </w:rPr>
        <w:t xml:space="preserve">-pandemian vuoksi Wärtsilä on tarkistanut </w:t>
      </w:r>
      <w:r>
        <w:rPr>
          <w:lang w:val="fi-FI"/>
        </w:rPr>
        <w:t>konsernitilinpäätöksen</w:t>
      </w:r>
      <w:r w:rsidRPr="00123047">
        <w:rPr>
          <w:lang w:val="fi-FI"/>
        </w:rPr>
        <w:t xml:space="preserve"> laatimisessa käytettyjä arvioita ja oletuksia. COVID-19 -pandemian aiheuttaman tilanteen mahdollinen vaikutus jokaisen arvion merkittäviin tekijöihin on huomioitu, ja pandemian vaikutus talou</w:t>
      </w:r>
      <w:r w:rsidRPr="00123047">
        <w:rPr>
          <w:lang w:val="fi-FI"/>
        </w:rPr>
        <w:t>dellisessa raportoinnissa käytettyihin arvioihin perustuu johdon parhaaseen harkintaan.</w:t>
      </w:r>
      <w:r w:rsidRPr="00687B3B" w:rsidR="006775F8">
        <w:rPr>
          <w:sz w:val="2"/>
          <w:szCs w:val="2"/>
          <w:highlight w:val="yellow"/>
          <w:lang w:val="fi-FI"/>
        </w:rPr>
        <w:br w:type="column"/>
      </w:r>
    </w:p>
    <w:p w:rsidR="00F45225" w:rsidRPr="00CF4496" w:rsidP="00F45225" w14:paraId="15BF748D" w14:textId="5320CBD2">
      <w:pPr>
        <w:pStyle w:val="Heading11"/>
        <w:rPr>
          <w:rFonts w:eastAsiaTheme="minorEastAsia"/>
          <w:lang w:val="fi-FI" w:eastAsia="fi-FI"/>
        </w:rPr>
      </w:pPr>
      <w:bookmarkStart w:id="1120" w:name="RG_MARKER_4694"/>
      <w:bookmarkStart w:id="1121" w:name="RG_MARKER_3743"/>
      <w:r w:rsidRPr="00CF4496">
        <w:rPr>
          <w:lang w:val="fi-FI"/>
        </w:rPr>
        <w:t>2. KONSERNIN TALOUDELLINEN TULOS</w:t>
      </w:r>
      <w:bookmarkEnd w:id="1121"/>
      <w:bookmarkEnd w:id="1120"/>
    </w:p>
    <w:p w:rsidR="00F45225" w:rsidRPr="00215BC6" w:rsidP="00F45225" w14:paraId="77C24FF3" w14:textId="1C3C9670">
      <w:pPr>
        <w:pStyle w:val="Heading12"/>
        <w:rPr>
          <w:lang w:val="fi-FI"/>
        </w:rPr>
      </w:pPr>
      <w:r w:rsidRPr="00215BC6">
        <w:rPr>
          <w:lang w:val="fi-FI"/>
        </w:rPr>
        <w:t>2.1. SEGMENTTI-INFORMAATIO</w:t>
      </w:r>
    </w:p>
    <w:p w:rsidR="00F45225" w:rsidP="00F45225" w14:paraId="2C70DB8C" w14:textId="173C51E5">
      <w:pPr>
        <w:pStyle w:val="Bodytext2"/>
        <w:rPr>
          <w:lang w:val="fi-FI"/>
        </w:rPr>
      </w:pPr>
      <w:r w:rsidRPr="00F45225">
        <w:rPr>
          <w:lang w:val="fi-FI"/>
        </w:rPr>
        <w:t>1.1.–30.6.2020 Wärtsilän segmentti-informaatio koostui kolmesta liiketoiminta-alueesta: Wärtsilä Marine</w:t>
      </w:r>
      <w:r w:rsidRPr="00F45225">
        <w:rPr>
          <w:lang w:val="fi-FI"/>
        </w:rPr>
        <w:t xml:space="preserve"> -liiketoiminnasta, Wärtsilä Energy -liiketoiminnasta ja Portfolio-liiketoiminnasta. Wärtsilä Marine -liiketoiminta ja Wärtsilä Energy -liiketoiminta olivat Wärtsilän toiminta- ja raportointisegmentit, kun taas Portfolio-liiketoiminta raportoitiin muina li</w:t>
      </w:r>
      <w:r w:rsidRPr="00F45225">
        <w:rPr>
          <w:lang w:val="fi-FI"/>
        </w:rPr>
        <w:t>iketoimintoina.</w:t>
      </w:r>
    </w:p>
    <w:p w:rsidR="00215BC6" w:rsidP="00F45225" w14:paraId="001E6F20" w14:textId="77777777">
      <w:pPr>
        <w:pStyle w:val="Bodytext2"/>
        <w:rPr>
          <w:lang w:val="fi-FI"/>
        </w:rPr>
      </w:pPr>
    </w:p>
    <w:p w:rsidR="00F45225" w:rsidP="00F45225" w14:paraId="00A3674D" w14:textId="261950E3">
      <w:pPr>
        <w:pStyle w:val="Bodytext2"/>
        <w:rPr>
          <w:lang w:val="fi-FI"/>
        </w:rPr>
      </w:pPr>
      <w:r w:rsidRPr="00F45225">
        <w:rPr>
          <w:lang w:val="fi-FI"/>
        </w:rPr>
        <w:t>Wärtsilän</w:t>
      </w:r>
      <w:r w:rsidR="00215BC6">
        <w:rPr>
          <w:lang w:val="fi-FI"/>
        </w:rPr>
        <w:t xml:space="preserve"> uusi organisaatiorakenne astui voimaan 1.7.2020. </w:t>
      </w:r>
      <w:r w:rsidRPr="00F45225">
        <w:rPr>
          <w:lang w:val="fi-FI"/>
        </w:rPr>
        <w:t xml:space="preserve">Uudessa organisaatiorakenteessa </w:t>
      </w:r>
      <w:r>
        <w:rPr>
          <w:lang w:val="fi-FI"/>
        </w:rPr>
        <w:t xml:space="preserve">Wärtsilä </w:t>
      </w:r>
      <w:r w:rsidRPr="00F45225">
        <w:rPr>
          <w:lang w:val="fi-FI"/>
        </w:rPr>
        <w:t>Marine Power,</w:t>
      </w:r>
      <w:r>
        <w:rPr>
          <w:lang w:val="fi-FI"/>
        </w:rPr>
        <w:t xml:space="preserve"> Wärtsilä </w:t>
      </w:r>
      <w:r w:rsidRPr="00F45225">
        <w:rPr>
          <w:lang w:val="fi-FI"/>
        </w:rPr>
        <w:t>Marine Systems,</w:t>
      </w:r>
      <w:r w:rsidR="00CA2E39">
        <w:rPr>
          <w:lang w:val="fi-FI"/>
        </w:rPr>
        <w:t xml:space="preserve"> </w:t>
      </w:r>
      <w:r>
        <w:rPr>
          <w:lang w:val="fi-FI"/>
        </w:rPr>
        <w:t xml:space="preserve">Wärtsilä </w:t>
      </w:r>
      <w:r w:rsidRPr="00F45225">
        <w:rPr>
          <w:lang w:val="fi-FI"/>
        </w:rPr>
        <w:t xml:space="preserve">Voyage ja </w:t>
      </w:r>
      <w:r>
        <w:rPr>
          <w:lang w:val="fi-FI"/>
        </w:rPr>
        <w:t xml:space="preserve">Wärtsilä </w:t>
      </w:r>
      <w:r w:rsidRPr="00F45225">
        <w:rPr>
          <w:lang w:val="fi-FI"/>
        </w:rPr>
        <w:t xml:space="preserve">Energy muodostavat konsernin </w:t>
      </w:r>
      <w:r w:rsidRPr="00CA2E39">
        <w:rPr>
          <w:lang w:val="fi-FI"/>
        </w:rPr>
        <w:t>raportoitavat segmentit</w:t>
      </w:r>
      <w:r w:rsidRPr="00F45225">
        <w:rPr>
          <w:lang w:val="fi-FI"/>
        </w:rPr>
        <w:t xml:space="preserve">. </w:t>
      </w:r>
      <w:r>
        <w:rPr>
          <w:lang w:val="fi-FI"/>
        </w:rPr>
        <w:t xml:space="preserve">Wärtsilä </w:t>
      </w:r>
      <w:r w:rsidRPr="00CF4496">
        <w:rPr>
          <w:lang w:val="fi-FI"/>
        </w:rPr>
        <w:t>Portfolio</w:t>
      </w:r>
      <w:r w:rsidRPr="00CF4496">
        <w:rPr>
          <w:lang w:val="fi-FI"/>
        </w:rPr>
        <w:t xml:space="preserve"> Business raportoidaan edelleen muina liiketoimintoina.</w:t>
      </w:r>
      <w:r w:rsidRPr="00CF4496" w:rsidR="00215BC6">
        <w:rPr>
          <w:lang w:val="fi-FI"/>
        </w:rPr>
        <w:t xml:space="preserve"> </w:t>
      </w:r>
      <w:r w:rsidRPr="00126FBB" w:rsidR="00126FBB">
        <w:rPr>
          <w:lang w:val="fi-FI"/>
        </w:rPr>
        <w:t>Segmentit ja muut liiketoiminnot kattavat sekä laitemyynnin että huoltotoiminnan omi</w:t>
      </w:r>
      <w:r>
        <w:rPr>
          <w:lang w:val="fi-FI"/>
        </w:rPr>
        <w:t>ssa liiketoiminnoissaan</w:t>
      </w:r>
      <w:r w:rsidRPr="00126FBB" w:rsidR="00126FBB">
        <w:rPr>
          <w:lang w:val="fi-FI"/>
        </w:rPr>
        <w:t>.</w:t>
      </w:r>
    </w:p>
    <w:p w:rsidR="00126FBB" w:rsidRPr="00126FBB" w:rsidP="00F45225" w14:paraId="54D29422" w14:textId="77777777">
      <w:pPr>
        <w:pStyle w:val="Bodytext2"/>
        <w:rPr>
          <w:lang w:val="fi-FI"/>
        </w:rPr>
      </w:pPr>
    </w:p>
    <w:p w:rsidR="00F45225" w:rsidP="00F45225" w14:paraId="17BE957F" w14:textId="63FBB79A">
      <w:pPr>
        <w:pStyle w:val="Bodytext2"/>
        <w:rPr>
          <w:lang w:val="fi-FI"/>
        </w:rPr>
      </w:pPr>
      <w:r w:rsidRPr="00F45225">
        <w:rPr>
          <w:lang w:val="fi-FI"/>
        </w:rPr>
        <w:t>Wärtsilän ylin operatiivinen päätöksentekijä (CODM, Chief Operating Decision Maker) on yht</w:t>
      </w:r>
      <w:r w:rsidRPr="00F45225">
        <w:rPr>
          <w:lang w:val="fi-FI"/>
        </w:rPr>
        <w:t>iön toimitusjohtaja, joka on samalla konsernijohtaja. Häntä tukee johtoryhmä ja joissain tapauksissa myös yhtiön hallitus.</w:t>
      </w:r>
    </w:p>
    <w:p w:rsidR="00F45225" w:rsidRPr="00F45225" w:rsidP="00F45225" w14:paraId="4ABF7F7D" w14:textId="77777777">
      <w:pPr>
        <w:pStyle w:val="Bodytext2"/>
        <w:rPr>
          <w:lang w:val="fi-FI"/>
        </w:rPr>
      </w:pPr>
    </w:p>
    <w:p w:rsidR="00F45225" w:rsidP="00F45225" w14:paraId="1B51FA18" w14:textId="314BC7E8">
      <w:pPr>
        <w:pStyle w:val="Bodytext2"/>
        <w:rPr>
          <w:lang w:val="fi-FI"/>
        </w:rPr>
      </w:pPr>
      <w:r w:rsidRPr="00F45225">
        <w:rPr>
          <w:lang w:val="fi-FI"/>
        </w:rPr>
        <w:t xml:space="preserve">Marine Powerilla, </w:t>
      </w:r>
      <w:r w:rsidR="000108AA">
        <w:rPr>
          <w:lang w:val="fi-FI"/>
        </w:rPr>
        <w:t>M</w:t>
      </w:r>
      <w:r w:rsidRPr="00F45225">
        <w:rPr>
          <w:lang w:val="fi-FI"/>
        </w:rPr>
        <w:t>arine Systemsillä, Voyagella, Energyllä ja Portfolio Businessillä on kullakin oma johtajansa. Liiketoimin</w:t>
      </w:r>
      <w:r>
        <w:rPr>
          <w:lang w:val="fi-FI"/>
        </w:rPr>
        <w:t>nat</w:t>
      </w:r>
      <w:r w:rsidRPr="00F45225">
        <w:rPr>
          <w:lang w:val="fi-FI"/>
        </w:rPr>
        <w:t xml:space="preserve"> toim</w:t>
      </w:r>
      <w:r w:rsidRPr="00F45225">
        <w:rPr>
          <w:lang w:val="fi-FI"/>
        </w:rPr>
        <w:t>ittavat erilliset taloustietonsa CODM:lle päätöksenteon tueksi. Wärtsilän esittämä segmentti-informaatio vastaa sisäistä raportointia johdolle. Segmentti-informaatio raportoidaan liiketuloksen tasolle, sillä liiketuloksen jälkeisiä eriä ei kohdisteta liike</w:t>
      </w:r>
      <w:r w:rsidRPr="00F45225">
        <w:rPr>
          <w:lang w:val="fi-FI"/>
        </w:rPr>
        <w:t>toimin</w:t>
      </w:r>
      <w:r>
        <w:rPr>
          <w:lang w:val="fi-FI"/>
        </w:rPr>
        <w:t>noille</w:t>
      </w:r>
      <w:r w:rsidRPr="00F45225">
        <w:rPr>
          <w:lang w:val="fi-FI"/>
        </w:rPr>
        <w:t>.</w:t>
      </w:r>
    </w:p>
    <w:p w:rsidR="00215BC6" w:rsidP="00F45225" w14:paraId="292CD2FE" w14:textId="37A72CD8">
      <w:pPr>
        <w:pStyle w:val="Bodytext2"/>
        <w:rPr>
          <w:lang w:val="fi-FI"/>
        </w:rPr>
      </w:pPr>
    </w:p>
    <w:p w:rsidR="00215BC6" w:rsidP="00215BC6" w14:paraId="233FDD5F" w14:textId="69163DE2">
      <w:pPr>
        <w:pStyle w:val="Bodytext2"/>
        <w:rPr>
          <w:lang w:val="fi-FI"/>
        </w:rPr>
      </w:pPr>
      <w:r w:rsidRPr="00215BC6">
        <w:rPr>
          <w:lang w:val="fi-FI"/>
        </w:rPr>
        <w:t>Segmenttien ja muiden liiketoimintojen välistä sisäistä myyntiä ei raportoida johdolle, vaan liikevaihto ja myynnin kustannukset kirjataan suoraan asiaankuuluvalle asiakkaalle</w:t>
      </w:r>
      <w:r w:rsidR="00CF4496">
        <w:rPr>
          <w:lang w:val="fi-FI"/>
        </w:rPr>
        <w:t xml:space="preserve">, </w:t>
      </w:r>
      <w:r w:rsidRPr="00215BC6">
        <w:rPr>
          <w:lang w:val="fi-FI"/>
        </w:rPr>
        <w:t>projektille</w:t>
      </w:r>
      <w:r w:rsidR="00CF4496">
        <w:rPr>
          <w:lang w:val="fi-FI"/>
        </w:rPr>
        <w:t xml:space="preserve"> ja tilaukselle</w:t>
      </w:r>
      <w:r w:rsidRPr="00215BC6">
        <w:rPr>
          <w:lang w:val="fi-FI"/>
        </w:rPr>
        <w:t>. Epäsuorat kustannukset ja hallintoku</w:t>
      </w:r>
      <w:r w:rsidRPr="00215BC6">
        <w:rPr>
          <w:lang w:val="fi-FI"/>
        </w:rPr>
        <w:t>lut kohdistetaan asiaankuuluvalle segmentille tai muille liiketoiminnoille pääasiassa liikevaihdon ja henkilöstömäärän mukaan. Konsernin johdon näkemyksen mukaan nämä kohdistusperiaatteet heijastavat parhaiten kunkin segmentin ja muiden liiketoimintojen to</w:t>
      </w:r>
      <w:r w:rsidRPr="00215BC6">
        <w:rPr>
          <w:lang w:val="fi-FI"/>
        </w:rPr>
        <w:t>dellisia kustannuksia. Kohdistusperiaatteet tarkistetaan säännöllisin väliajoin.</w:t>
      </w:r>
    </w:p>
    <w:p w:rsidR="00215BC6" w:rsidRPr="00215BC6" w:rsidP="00215BC6" w14:paraId="38C27FFE" w14:textId="77777777">
      <w:pPr>
        <w:pStyle w:val="Bodytext2"/>
        <w:rPr>
          <w:lang w:val="fi-FI"/>
        </w:rPr>
      </w:pPr>
    </w:p>
    <w:p w:rsidR="00215BC6" w:rsidP="00215BC6" w14:paraId="641C3AEF" w14:textId="034B8F4E">
      <w:pPr>
        <w:pStyle w:val="Bodytext2"/>
        <w:rPr>
          <w:lang w:val="fi-FI"/>
        </w:rPr>
      </w:pPr>
      <w:r w:rsidRPr="00215BC6">
        <w:rPr>
          <w:lang w:val="fi-FI"/>
        </w:rPr>
        <w:t xml:space="preserve">Wärtsilän </w:t>
      </w:r>
      <w:r w:rsidRPr="00215BC6">
        <w:rPr>
          <w:lang w:val="fi-FI"/>
        </w:rPr>
        <w:t xml:space="preserve">tavoitteena on johtaa alan muutosta kohti älykästä merenkulun ekosysteemiä. Merenkulkualan sekä öljy- ja kaasusektorin </w:t>
      </w:r>
      <w:r w:rsidRPr="00215BC6">
        <w:rPr>
          <w:lang w:val="fi-FI"/>
        </w:rPr>
        <w:t>innovatiivisten tuotteiden, integroitujen ratkaisujen ja elinkaaripalveluiden johtavana tuottajana Wärtsilä pyrkii tarjoamaan asiakkailleen uudenlaista lisäarvoa liitettävyyden, digitalisaation ja älykkään teknologian avulla.</w:t>
      </w:r>
    </w:p>
    <w:p w:rsidR="00215BC6" w:rsidRPr="00215BC6" w:rsidP="00215BC6" w14:paraId="74FB8C36" w14:textId="77777777">
      <w:pPr>
        <w:pStyle w:val="Bodytext2"/>
        <w:rPr>
          <w:lang w:val="fi-FI"/>
        </w:rPr>
      </w:pPr>
    </w:p>
    <w:p w:rsidR="00215BC6" w:rsidP="00215BC6" w14:paraId="2A0DD039" w14:textId="713EE9C7">
      <w:pPr>
        <w:pStyle w:val="Bodytext2"/>
        <w:rPr>
          <w:lang w:val="fi-FI"/>
        </w:rPr>
      </w:pPr>
      <w:r w:rsidRPr="00215BC6">
        <w:rPr>
          <w:lang w:val="fi-FI"/>
        </w:rPr>
        <w:t>Wärtsilällä on merenkulkuasia</w:t>
      </w:r>
      <w:r w:rsidRPr="00215BC6">
        <w:rPr>
          <w:lang w:val="fi-FI"/>
        </w:rPr>
        <w:t>kkaita kaikilla suurimmilla alussegmenteillä, kuten perinteiset kauppalaivat, kaasutankkerit, risteilyalukset ja matkustajalautat, laivastot ja erikoisalukset. Öljy- ja kaasuteollisuudessa Wärtsilä palvelee aktiivisesti offshore-laitoksia ja niihin liittyv</w:t>
      </w:r>
      <w:r w:rsidRPr="00215BC6">
        <w:rPr>
          <w:lang w:val="fi-FI"/>
        </w:rPr>
        <w:t>iä aluksia sekä maalla sijaitsevia kaasulaitoksia. Wärtsilän asiakaskunta koostuu laivanvarustamoista, telakoista ja laivojen liikennöitsijöistä.</w:t>
      </w:r>
    </w:p>
    <w:p w:rsidR="00215BC6" w:rsidRPr="00215BC6" w:rsidP="00215BC6" w14:paraId="159B625E" w14:textId="77777777">
      <w:pPr>
        <w:pStyle w:val="Bodytext2"/>
        <w:rPr>
          <w:lang w:val="fi-FI"/>
        </w:rPr>
      </w:pPr>
    </w:p>
    <w:p w:rsidR="00215BC6" w:rsidP="00215BC6" w14:paraId="23703AC1" w14:textId="405808B6">
      <w:pPr>
        <w:pStyle w:val="Bodytext2"/>
        <w:rPr>
          <w:lang w:val="fi-FI"/>
        </w:rPr>
      </w:pPr>
      <w:r w:rsidRPr="00215BC6">
        <w:rPr>
          <w:lang w:val="fi-FI"/>
        </w:rPr>
        <w:t>Energy johtaa muutosta kohti pelkästään uusiutuviin energianlähteisiin nojaavaa tulevaisuutta. Wärtsilä autta</w:t>
      </w:r>
      <w:r w:rsidRPr="00215BC6">
        <w:rPr>
          <w:lang w:val="fi-FI"/>
        </w:rPr>
        <w:t>a asiakkaitaan vapauttamaan energiamurrokseen kytkeytyvän lisäarvon optimoimalla heidän energiajärjestelmänsä ja takaamalla heidän laitteidensa ja laitostensa käytettävyyden pitkälle tulevaisuuteen.</w:t>
      </w:r>
    </w:p>
    <w:p w:rsidR="00F45225" w:rsidRPr="00F45225" w:rsidP="00F45225" w14:paraId="06C53CF8" w14:textId="77777777">
      <w:pPr>
        <w:pStyle w:val="Bodytext2"/>
        <w:rPr>
          <w:lang w:val="fi-FI"/>
        </w:rPr>
      </w:pPr>
    </w:p>
    <w:p w:rsidR="00F45225" w:rsidRPr="00CF4496" w:rsidP="00F45225" w14:paraId="4E9E7564" w14:textId="4F953C81">
      <w:pPr>
        <w:pStyle w:val="Heading13"/>
        <w:rPr>
          <w:lang w:val="fi-FI"/>
        </w:rPr>
      </w:pPr>
      <w:r>
        <w:rPr>
          <w:lang w:val="fi-FI"/>
        </w:rPr>
        <w:t xml:space="preserve">Wärtsilä </w:t>
      </w:r>
      <w:r w:rsidRPr="00CF4496">
        <w:rPr>
          <w:lang w:val="fi-FI"/>
        </w:rPr>
        <w:t>Marine Power</w:t>
      </w:r>
    </w:p>
    <w:p w:rsidR="00215BC6" w:rsidP="00215BC6" w14:paraId="56AF1154" w14:textId="79DFDA80">
      <w:pPr>
        <w:pStyle w:val="Bodytext2"/>
        <w:rPr>
          <w:lang w:val="fi-FI"/>
        </w:rPr>
      </w:pPr>
      <w:r w:rsidRPr="00215BC6">
        <w:rPr>
          <w:lang w:val="fi-FI"/>
        </w:rPr>
        <w:t xml:space="preserve">Marine Powerin toiminta keskittyy </w:t>
      </w:r>
      <w:r w:rsidRPr="00215BC6">
        <w:rPr>
          <w:lang w:val="fi-FI"/>
        </w:rPr>
        <w:t>Wärtsilän kattavaan moottori- ja propulsiovalikoimaan. Sen tarjooma – sisältäen moottorit, generaattorit, vaihdelaatikot, propulsiolaitteet sekä LNG-polttoainekäsittelyn, energianhallinnan ja typen oksidien vähentämisen teknologiat – tekee Marine Powerista</w:t>
      </w:r>
      <w:r w:rsidRPr="00215BC6">
        <w:rPr>
          <w:lang w:val="fi-FI"/>
        </w:rPr>
        <w:t xml:space="preserve"> asiakkaiden johtavan kumppanin meriteollisuuden hiilidioksidipäästöjen vähentämisessä etenkin polttoainejoustavuuden ja hybridiratkaisujen avulla.</w:t>
      </w:r>
    </w:p>
    <w:p w:rsidR="00215BC6" w:rsidRPr="00215BC6" w:rsidP="00215BC6" w14:paraId="128F5196" w14:textId="77777777">
      <w:pPr>
        <w:pStyle w:val="Bodytext2"/>
        <w:rPr>
          <w:lang w:val="fi-FI"/>
        </w:rPr>
      </w:pPr>
    </w:p>
    <w:p w:rsidR="00F45225" w:rsidRPr="00215BC6" w:rsidP="00215BC6" w14:paraId="1163A566" w14:textId="2A156313">
      <w:pPr>
        <w:pStyle w:val="Bodytext2"/>
        <w:rPr>
          <w:lang w:val="fi-FI"/>
        </w:rPr>
      </w:pPr>
      <w:r>
        <w:t>Marine Powerilla on kuusi liiketoimintayksikköä: Power Supply, Propulsion, Parts, Performance, Projects sek</w:t>
      </w:r>
      <w:r>
        <w:t xml:space="preserve">ä Field Services &amp; Workshops. </w:t>
      </w:r>
      <w:r w:rsidRPr="00842C9A">
        <w:rPr>
          <w:lang w:val="fi-FI"/>
        </w:rPr>
        <w:t>Wä</w:t>
      </w:r>
      <w:r>
        <w:rPr>
          <w:lang w:val="fi-FI"/>
        </w:rPr>
        <w:t xml:space="preserve">rtsilä </w:t>
      </w:r>
      <w:r w:rsidRPr="00215BC6">
        <w:rPr>
          <w:lang w:val="fi-FI"/>
        </w:rPr>
        <w:t>Marine Power on suunniteltu tukemaan asiakkaita koko aluksen elinkaaren ajan. Se suunnittelee, kehittää ja toimittaa korkealaatuisia tuotteita ja ratkaisuja, jotka takaavat erinomaisen suorituskyvyn ja kykenevät vasta</w:t>
      </w:r>
      <w:r w:rsidRPr="00215BC6">
        <w:rPr>
          <w:lang w:val="fi-FI"/>
        </w:rPr>
        <w:t>amaan muuttuviin ympäristövaatimuksiin, sekä tukee asiakkaita laajalla huoltoverkostolla, joka tarjoaa varaosia, pätevää kenttähuoltohenkilöstöä sekä tuote- ja ratkaisupäivityksiä ja vähentää operatiivista riskiä.</w:t>
      </w:r>
    </w:p>
    <w:p w:rsidR="00F45225" w:rsidRPr="00215BC6" w:rsidP="00F45225" w14:paraId="26194814" w14:textId="77777777">
      <w:pPr>
        <w:pStyle w:val="Bodytext2"/>
        <w:rPr>
          <w:lang w:val="fi-FI"/>
        </w:rPr>
      </w:pPr>
    </w:p>
    <w:p w:rsidR="00F45225" w:rsidRPr="00CF4496" w:rsidP="00F45225" w14:paraId="36CCE5F7" w14:textId="0E992D4B">
      <w:pPr>
        <w:pStyle w:val="Heading13"/>
        <w:rPr>
          <w:lang w:val="fi-FI"/>
        </w:rPr>
      </w:pPr>
      <w:r>
        <w:rPr>
          <w:lang w:val="fi-FI"/>
        </w:rPr>
        <w:t xml:space="preserve">Wärtsilä </w:t>
      </w:r>
      <w:r w:rsidRPr="00CF4496">
        <w:rPr>
          <w:lang w:val="fi-FI"/>
        </w:rPr>
        <w:t>Marine Systems</w:t>
      </w:r>
    </w:p>
    <w:p w:rsidR="00215BC6" w:rsidP="00215BC6" w14:paraId="23C532D2" w14:textId="541B845D">
      <w:pPr>
        <w:pStyle w:val="Bodytext2"/>
        <w:rPr>
          <w:lang w:val="fi-FI"/>
        </w:rPr>
      </w:pPr>
      <w:r w:rsidRPr="00215BC6">
        <w:rPr>
          <w:lang w:val="fi-FI"/>
        </w:rPr>
        <w:t>Marine Systems ko</w:t>
      </w:r>
      <w:r w:rsidRPr="00215BC6">
        <w:rPr>
          <w:lang w:val="fi-FI"/>
        </w:rPr>
        <w:t>ostuu neljästä kokonaisvaltaisia elinkaariratkaisuja tarjoavasta liiketoimintayksiköstä: Exhaust Treatment, Gas Solutions, Marine Electrical Systems ja Shaft Line Solutions.</w:t>
      </w:r>
    </w:p>
    <w:p w:rsidR="00215BC6" w:rsidRPr="00215BC6" w:rsidP="00215BC6" w14:paraId="0ED8F2FC" w14:textId="77777777">
      <w:pPr>
        <w:pStyle w:val="Bodytext2"/>
        <w:rPr>
          <w:lang w:val="fi-FI"/>
        </w:rPr>
      </w:pPr>
    </w:p>
    <w:p w:rsidR="00215BC6" w:rsidP="00215BC6" w14:paraId="5F3B77C8" w14:textId="33EE6E83">
      <w:pPr>
        <w:pStyle w:val="Bodytext2"/>
        <w:rPr>
          <w:lang w:val="fi-FI"/>
        </w:rPr>
      </w:pPr>
      <w:r w:rsidRPr="00215BC6">
        <w:rPr>
          <w:lang w:val="fi-FI"/>
        </w:rPr>
        <w:t>Exhaust Treatment</w:t>
      </w:r>
      <w:r w:rsidRPr="00215BC6">
        <w:rPr>
          <w:lang w:val="fi-FI"/>
        </w:rPr>
        <w:t xml:space="preserve"> -liiketoimintayksikkö kehittää pakokaasujen puhdistamiseen liittyvää liiketoimintaa. Wärtsilän pakokaasujen puhdistustekniikka on taloudellinen ja ympäristöystävällinen ratkaisu kaikkien uusien ja olemassa olevien sääntöjen ja määräysten noudattamiseen. W</w:t>
      </w:r>
      <w:r w:rsidRPr="00215BC6">
        <w:rPr>
          <w:lang w:val="fi-FI"/>
        </w:rPr>
        <w:t>ärtsilän rikkipesurijärjestelmät on suunniteltu tarjoamaan joustavuutta ja luotettavuutta, missä tahansa asiakkaat toimivatkin.</w:t>
      </w:r>
    </w:p>
    <w:p w:rsidR="00215BC6" w:rsidRPr="00215BC6" w:rsidP="00215BC6" w14:paraId="5D125D92" w14:textId="77777777">
      <w:pPr>
        <w:pStyle w:val="Bodytext2"/>
        <w:rPr>
          <w:lang w:val="fi-FI"/>
        </w:rPr>
      </w:pPr>
    </w:p>
    <w:p w:rsidR="00215BC6" w:rsidP="00215BC6" w14:paraId="076F172A" w14:textId="249C9CE8">
      <w:pPr>
        <w:pStyle w:val="Bodytext2"/>
        <w:rPr>
          <w:lang w:val="fi-FI"/>
        </w:rPr>
      </w:pPr>
      <w:r w:rsidRPr="00215BC6">
        <w:rPr>
          <w:lang w:val="fi-FI"/>
        </w:rPr>
        <w:t>Gas Solutions -liiketoimintayksikkö on johtava kaasuteknologian ja -palveluiden tarjoaja. Yksikön laajaan tuotevalikoimaan sisä</w:t>
      </w:r>
      <w:r w:rsidRPr="00215BC6">
        <w:rPr>
          <w:lang w:val="fi-FI"/>
        </w:rPr>
        <w:t>ltyy kaasunkuljetusalusten lastinkäsittelyjärjestelmät, nesteytys- ja kaasutusjärjestelmät eri sovelluksille, polttoainejärjestelmät vaihtoehtoisille moottoriratkaisuille ja polttoaineille sekä uusiutuvan kaasun järjestelmät, kuten biokaasuun liittyvät mod</w:t>
      </w:r>
      <w:r w:rsidRPr="00215BC6">
        <w:rPr>
          <w:lang w:val="fi-FI"/>
        </w:rPr>
        <w:t>ernisointi- ja nesteytysratkaisut.</w:t>
      </w:r>
    </w:p>
    <w:p w:rsidR="00215BC6" w:rsidRPr="00215BC6" w:rsidP="00215BC6" w14:paraId="273C3538" w14:textId="77777777">
      <w:pPr>
        <w:pStyle w:val="Bodytext2"/>
        <w:rPr>
          <w:lang w:val="fi-FI"/>
        </w:rPr>
      </w:pPr>
    </w:p>
    <w:p w:rsidR="00215BC6" w:rsidP="00215BC6" w14:paraId="4BD86220" w14:textId="4BD25D04">
      <w:pPr>
        <w:pStyle w:val="Bodytext2"/>
        <w:rPr>
          <w:lang w:val="fi-FI"/>
        </w:rPr>
      </w:pPr>
      <w:r w:rsidRPr="00215BC6">
        <w:rPr>
          <w:lang w:val="fi-FI"/>
        </w:rPr>
        <w:t>Marine Electrical Systems -liiketoimintayksikkö tarjoaa sähköjärjestelmien kokonaisratkaisuja niche-markkinoilla kuten merivoimat ja superjahdit. Yksikkö vastaa koko projektista aina perussuunnittelusta käyttöönottoon as</w:t>
      </w:r>
      <w:r w:rsidRPr="00215BC6">
        <w:rPr>
          <w:lang w:val="fi-FI"/>
        </w:rPr>
        <w:t>ti.</w:t>
      </w:r>
    </w:p>
    <w:p w:rsidR="00215BC6" w:rsidRPr="00215BC6" w:rsidP="00215BC6" w14:paraId="60473AB8" w14:textId="77777777">
      <w:pPr>
        <w:pStyle w:val="Bodytext2"/>
        <w:rPr>
          <w:lang w:val="fi-FI"/>
        </w:rPr>
      </w:pPr>
    </w:p>
    <w:p w:rsidR="00F45225" w:rsidRPr="00CF4496" w:rsidP="00215BC6" w14:paraId="1C0F3048" w14:textId="4739447C">
      <w:pPr>
        <w:pStyle w:val="Bodytext2"/>
        <w:rPr>
          <w:lang w:val="fi-FI"/>
        </w:rPr>
      </w:pPr>
      <w:r w:rsidRPr="00215BC6">
        <w:rPr>
          <w:lang w:val="fi-FI"/>
        </w:rPr>
        <w:t xml:space="preserve">Shaft Line Solutions -liiketoimintayksikkö (entinen Seals &amp; Bearings) tarjoaa ympäri maailmaa sijaitsevilta tehtailtaan ja palvelupisteiltään tiivisteisiin ja laakereihin liittyviä kokonaisvaltaisia, integroituja ratkaisuja. </w:t>
      </w:r>
      <w:r w:rsidRPr="00CF4496">
        <w:rPr>
          <w:lang w:val="fi-FI"/>
        </w:rPr>
        <w:t>Yksikön ydinmarkkinoita ov</w:t>
      </w:r>
      <w:r w:rsidRPr="00CF4496">
        <w:rPr>
          <w:lang w:val="fi-FI"/>
        </w:rPr>
        <w:t>at merivoima-, kauppalaiva- ja risteilyalussegmentit.</w:t>
      </w:r>
    </w:p>
    <w:p w:rsidR="00F45225" w:rsidRPr="00CF4496" w:rsidP="00F45225" w14:paraId="11FC892C" w14:textId="77777777">
      <w:pPr>
        <w:pStyle w:val="Bodytext2"/>
        <w:rPr>
          <w:lang w:val="fi-FI"/>
        </w:rPr>
      </w:pPr>
    </w:p>
    <w:p w:rsidR="00F45225" w:rsidRPr="00CF4496" w:rsidP="00F45225" w14:paraId="0DBBFB46" w14:textId="0171A630">
      <w:pPr>
        <w:pStyle w:val="Heading13"/>
        <w:rPr>
          <w:lang w:val="fi-FI"/>
        </w:rPr>
      </w:pPr>
      <w:r>
        <w:rPr>
          <w:lang w:val="fi-FI"/>
        </w:rPr>
        <w:t xml:space="preserve">Wärtsilä </w:t>
      </w:r>
      <w:r w:rsidRPr="00CF4496">
        <w:rPr>
          <w:lang w:val="fi-FI"/>
        </w:rPr>
        <w:t>Voyage</w:t>
      </w:r>
    </w:p>
    <w:p w:rsidR="00215BC6" w:rsidP="00215BC6" w14:paraId="517346D0" w14:textId="3503482D">
      <w:pPr>
        <w:pStyle w:val="Bodytext2"/>
        <w:rPr>
          <w:lang w:val="fi-FI"/>
        </w:rPr>
      </w:pPr>
      <w:r w:rsidRPr="00215BC6">
        <w:rPr>
          <w:lang w:val="fi-FI"/>
        </w:rPr>
        <w:t>Voyage tukee laivamatkojen toteuttamistavan muutosta hyödyntämällä uusimpia digitaalisia teknologioita, jotka parantavat turvallisuutta, tehokkuutta ja luotettavuutta sekä vähentävät pä</w:t>
      </w:r>
      <w:r w:rsidRPr="00215BC6">
        <w:rPr>
          <w:lang w:val="fi-FI"/>
        </w:rPr>
        <w:t>ästöjä. Yhdistämällä komentosiltajärjestelmät, pilvidatan hallinnan, datapalvelut, päätöksenteon tukityökalut ja pääsyn reaaliaikaiseen</w:t>
      </w:r>
      <w:r>
        <w:rPr>
          <w:lang w:val="fi-FI"/>
        </w:rPr>
        <w:t xml:space="preserve"> </w:t>
      </w:r>
      <w:r w:rsidRPr="00215BC6">
        <w:rPr>
          <w:lang w:val="fi-FI"/>
        </w:rPr>
        <w:t>tietoon</w:t>
      </w:r>
      <w:r>
        <w:rPr>
          <w:lang w:val="fi-FI"/>
        </w:rPr>
        <w:t xml:space="preserve"> </w:t>
      </w:r>
      <w:r w:rsidRPr="00215BC6">
        <w:rPr>
          <w:lang w:val="fi-FI"/>
        </w:rPr>
        <w:t>Voyage on mukana luomassa tulevaisuuden digitaalista ekosysteemiä. Voyagella on yksi suurimmista asennetuista la</w:t>
      </w:r>
      <w:r w:rsidRPr="00215BC6">
        <w:rPr>
          <w:lang w:val="fi-FI"/>
        </w:rPr>
        <w:t>itekannoista ja tarjoomista koskien navigointi-, automaatio-, simulaatio- ja koulutusratkaisuja sekä laivaliikenteen ohjausratkaisuja.</w:t>
      </w:r>
    </w:p>
    <w:p w:rsidR="00215BC6" w:rsidRPr="00215BC6" w:rsidP="00215BC6" w14:paraId="03CEF3AE" w14:textId="77777777">
      <w:pPr>
        <w:pStyle w:val="Bodytext2"/>
        <w:rPr>
          <w:lang w:val="fi-FI"/>
        </w:rPr>
      </w:pPr>
    </w:p>
    <w:p w:rsidR="00215BC6" w:rsidP="00215BC6" w14:paraId="08AB7279" w14:textId="396A67DD">
      <w:pPr>
        <w:pStyle w:val="Bodytext2"/>
        <w:rPr>
          <w:lang w:val="fi-FI"/>
        </w:rPr>
      </w:pPr>
      <w:r w:rsidRPr="00215BC6">
        <w:rPr>
          <w:lang w:val="fi-FI"/>
        </w:rPr>
        <w:t>Voyage palvelee keskeisiä markkinasegmenttejä, kuten risteilyaluksia, matkustajalauttoja, kauppalaivoja ja merivoimia, s</w:t>
      </w:r>
      <w:r w:rsidRPr="00215BC6">
        <w:rPr>
          <w:lang w:val="fi-FI"/>
        </w:rPr>
        <w:t>ekä myös muita kuin aluksia, kuten esimerkiksi satamaviranomaisia ja merenkulkulaitoksia. Voyage toimii sekä uusien että jo olemassa olevien alusten markkinoilla. Voyage toteuttaa kasvustrategiaa, joka perustuu innovatiiviseen tuotekehitykseen, järjestelmä</w:t>
      </w:r>
      <w:r w:rsidRPr="00215BC6">
        <w:rPr>
          <w:lang w:val="fi-FI"/>
        </w:rPr>
        <w:t>integraatioon, liitettävyyteen, etätoimintoihin ja kyberturvallisuuteen älykkään merenkulun ekosysteemin kehityksen mukaisesti.</w:t>
      </w:r>
    </w:p>
    <w:p w:rsidR="00215BC6" w:rsidP="00215BC6" w14:paraId="79678EFA" w14:textId="77777777">
      <w:pPr>
        <w:pStyle w:val="Bodytext2"/>
        <w:rPr>
          <w:lang w:val="fi-FI"/>
        </w:rPr>
      </w:pPr>
    </w:p>
    <w:p w:rsidR="00F45225" w:rsidRPr="00215BC6" w:rsidP="00215BC6" w14:paraId="23EFE6D9" w14:textId="2E45D751">
      <w:pPr>
        <w:pStyle w:val="Heading13"/>
        <w:rPr>
          <w:lang w:val="fi-FI"/>
        </w:rPr>
      </w:pPr>
      <w:r>
        <w:rPr>
          <w:lang w:val="fi-FI"/>
        </w:rPr>
        <w:t xml:space="preserve">Wärtsilä </w:t>
      </w:r>
      <w:r w:rsidRPr="00215BC6">
        <w:rPr>
          <w:lang w:val="fi-FI"/>
        </w:rPr>
        <w:t>Energy</w:t>
      </w:r>
    </w:p>
    <w:p w:rsidR="00215BC6" w:rsidP="00215BC6" w14:paraId="521C6022" w14:textId="27C8DB29">
      <w:pPr>
        <w:pStyle w:val="Bodytext2"/>
        <w:rPr>
          <w:lang w:val="fi-FI"/>
        </w:rPr>
      </w:pPr>
      <w:r w:rsidRPr="00215BC6">
        <w:rPr>
          <w:lang w:val="fi-FI"/>
        </w:rPr>
        <w:t xml:space="preserve">Wärtsilän tarjooma sisältää joustavat voimalaitosratkaisut, energian hallinta- ja varastointijärjestelmät sekä </w:t>
      </w:r>
      <w:r w:rsidRPr="00215BC6">
        <w:rPr>
          <w:lang w:val="fi-FI"/>
        </w:rPr>
        <w:t>koko elinkaaren kattavat palvelut, jotka parantavat tehokkuutta ja varmistavat suorituskyvyn.</w:t>
      </w:r>
    </w:p>
    <w:p w:rsidR="00215BC6" w:rsidRPr="00215BC6" w:rsidP="00215BC6" w14:paraId="5F8C85CA" w14:textId="77777777">
      <w:pPr>
        <w:pStyle w:val="Bodytext2"/>
        <w:rPr>
          <w:lang w:val="fi-FI"/>
        </w:rPr>
      </w:pPr>
    </w:p>
    <w:p w:rsidR="00F45225" w:rsidRPr="00215BC6" w:rsidP="00215BC6" w14:paraId="1F757112" w14:textId="25A0E047">
      <w:pPr>
        <w:pStyle w:val="Bodytext2"/>
        <w:rPr>
          <w:lang w:val="fi-FI"/>
        </w:rPr>
      </w:pPr>
      <w:r w:rsidRPr="00215BC6">
        <w:rPr>
          <w:lang w:val="fi-FI"/>
        </w:rPr>
        <w:t>Wärtsilän kolme tärkeintä asiakassegmenttiä energiamarkkinoilla ovat sähkölaitokset, itsenäiset voimantuottajat ja teollisuusasiakkaat. Wärtsilän energiaratkaisu</w:t>
      </w:r>
      <w:r w:rsidRPr="00215BC6">
        <w:rPr>
          <w:lang w:val="fi-FI"/>
        </w:rPr>
        <w:t>t soveltuvat hyvin monenlaisiin tarkoituksiin, esimerkiksi perusvoiman tuotantoon, kantaverkon vakautta varmistavaan tuotantoon, kuormitushuippujen tasaamiseen, kuormaa seuraavaan tuotantoon sekä tuuli- ja aurinkovoiman integrointiin. Wärtsilä tarjoaa asia</w:t>
      </w:r>
      <w:r w:rsidRPr="00215BC6">
        <w:rPr>
          <w:lang w:val="fi-FI"/>
        </w:rPr>
        <w:t>kkailleen kattavaa energiajärjestelmäosaamista, mukaan lukien täysin integroidut laitteet ja ohjelmistot sekä lisäarvoa tuottavat elinkaaripalvelut.</w:t>
      </w:r>
    </w:p>
    <w:p w:rsidR="00F45225" w:rsidRPr="00215BC6" w:rsidP="00F45225" w14:paraId="72C7AB74" w14:textId="77777777">
      <w:pPr>
        <w:pStyle w:val="Bodytext2"/>
        <w:rPr>
          <w:lang w:val="fi-FI"/>
        </w:rPr>
      </w:pPr>
    </w:p>
    <w:p w:rsidR="00F45225" w:rsidRPr="00215BC6" w:rsidP="00F45225" w14:paraId="71097C65" w14:textId="4956D694">
      <w:pPr>
        <w:pStyle w:val="Heading13"/>
        <w:rPr>
          <w:lang w:val="fi-FI"/>
        </w:rPr>
      </w:pPr>
      <w:r>
        <w:rPr>
          <w:lang w:val="fi-FI"/>
        </w:rPr>
        <w:t xml:space="preserve">Wärtsilä </w:t>
      </w:r>
      <w:r w:rsidRPr="00215BC6">
        <w:rPr>
          <w:lang w:val="fi-FI"/>
        </w:rPr>
        <w:t>Portfolio Business</w:t>
      </w:r>
    </w:p>
    <w:p w:rsidR="00215BC6" w:rsidP="00215BC6" w14:paraId="287AFE68" w14:textId="38BE9B0D">
      <w:pPr>
        <w:pStyle w:val="Bodytext2"/>
        <w:rPr>
          <w:szCs w:val="15"/>
          <w:lang w:val="fi-FI"/>
        </w:rPr>
      </w:pPr>
      <w:r w:rsidRPr="00215BC6">
        <w:rPr>
          <w:szCs w:val="15"/>
          <w:lang w:val="fi-FI"/>
        </w:rPr>
        <w:t>Portfolio Business raportoidaan muina liiketoimintoina.</w:t>
      </w:r>
    </w:p>
    <w:p w:rsidR="0041758E" w:rsidP="00215BC6" w14:paraId="048F7F3A" w14:textId="77777777">
      <w:pPr>
        <w:pStyle w:val="Bodytext2"/>
        <w:rPr>
          <w:szCs w:val="15"/>
          <w:lang w:val="fi-FI"/>
        </w:rPr>
      </w:pPr>
    </w:p>
    <w:p w:rsidR="00F45225" w:rsidP="00215BC6" w14:paraId="0F3C8349" w14:textId="504230EC">
      <w:pPr>
        <w:pStyle w:val="Bodytext2"/>
        <w:rPr>
          <w:szCs w:val="15"/>
          <w:lang w:val="fi-FI"/>
        </w:rPr>
      </w:pPr>
      <w:r w:rsidRPr="00215BC6">
        <w:rPr>
          <w:szCs w:val="15"/>
          <w:lang w:val="fi-FI"/>
        </w:rPr>
        <w:t xml:space="preserve">Portfolio </w:t>
      </w:r>
      <w:r w:rsidRPr="00215BC6">
        <w:rPr>
          <w:szCs w:val="15"/>
          <w:lang w:val="fi-FI"/>
        </w:rPr>
        <w:t xml:space="preserve">Business koostuu useista liiketoimintayksiköistä, joita johdetaan itsenäisesti. Tavoitteena on nopeuttaa yksiköiden tuloksentekokyvyn kasvua ja vapauttaa niiden koko potentiaali yritysmyyntien tai muiden strategisten vaihtoehtojen kautta. </w:t>
      </w:r>
      <w:r>
        <w:rPr>
          <w:szCs w:val="15"/>
          <w:lang w:val="fi-FI"/>
        </w:rPr>
        <w:t xml:space="preserve">Wärtsilä </w:t>
      </w:r>
      <w:r w:rsidRPr="00215BC6">
        <w:rPr>
          <w:szCs w:val="15"/>
          <w:lang w:val="fi-FI"/>
        </w:rPr>
        <w:t>Portfoli</w:t>
      </w:r>
      <w:r w:rsidRPr="00215BC6">
        <w:rPr>
          <w:szCs w:val="15"/>
          <w:lang w:val="fi-FI"/>
        </w:rPr>
        <w:t>o Business kattaa viihdejärjestelmät, muuntajat ja keskeytymättömän virransyötön järjestelmät, säiliönohjausjärjestelmät, veden- ja jätteenkäsittelyn sekä vesivoimaratkaisujen ja turbiinihuollon liiketoiminnan American Hydron.</w:t>
      </w:r>
    </w:p>
    <w:p w:rsidR="00697B73" w:rsidP="00215BC6" w14:paraId="165BA03C" w14:textId="77777777">
      <w:pPr>
        <w:pStyle w:val="Bodytext2"/>
        <w:rPr>
          <w:szCs w:val="15"/>
          <w:lang w:val="fi-FI"/>
        </w:rPr>
      </w:pPr>
    </w:p>
    <w:p w:rsidR="00697B73" w:rsidP="00215BC6" w14:paraId="7F8EA8CB" w14:textId="7FA57420">
      <w:pPr>
        <w:pStyle w:val="Bodytext2"/>
        <w:rPr>
          <w:szCs w:val="15"/>
          <w:lang w:val="fi-FI"/>
        </w:rPr>
      </w:pPr>
      <w:r w:rsidRPr="00697B73">
        <w:rPr>
          <w:szCs w:val="15"/>
          <w:lang w:val="fi-FI"/>
        </w:rPr>
        <w:t>30.9.2020</w:t>
      </w:r>
      <w:r>
        <w:rPr>
          <w:szCs w:val="15"/>
          <w:lang w:val="fi-FI"/>
        </w:rPr>
        <w:t xml:space="preserve"> asti</w:t>
      </w:r>
      <w:r w:rsidRPr="00697B73">
        <w:rPr>
          <w:szCs w:val="15"/>
          <w:lang w:val="fi-FI"/>
        </w:rPr>
        <w:t xml:space="preserve"> Portfolio Bus</w:t>
      </w:r>
      <w:r w:rsidRPr="00697B73">
        <w:rPr>
          <w:szCs w:val="15"/>
          <w:lang w:val="fi-FI"/>
        </w:rPr>
        <w:t>iness sisälsi myös Wärtsilä JOVYATLAS GmbH:n ja Wärtsilä Valves Ltd:n. 1.10. Wärtsilä myi 100% osakkeistaan Wärtsilä JOVYATLAS:issa ja Wärtsilä Valves:issa.</w:t>
      </w:r>
    </w:p>
    <w:p w:rsidR="005B28D7" w:rsidP="00215BC6" w14:paraId="7CAFB7F5" w14:textId="77777777">
      <w:pPr>
        <w:pStyle w:val="Bodytext2"/>
        <w:rPr>
          <w:szCs w:val="15"/>
          <w:lang w:val="fi-FI"/>
        </w:rPr>
      </w:pPr>
    </w:p>
    <w:p w:rsidR="005B28D7" w:rsidRPr="00697B73" w:rsidP="00215BC6" w14:paraId="0964EEC8" w14:textId="3755FCD0">
      <w:pPr>
        <w:pStyle w:val="Bodytext2"/>
        <w:rPr>
          <w:szCs w:val="15"/>
          <w:lang w:val="fi-FI"/>
        </w:rPr>
      </w:pPr>
      <w:r>
        <w:rPr>
          <w:szCs w:val="15"/>
          <w:lang w:val="fi-FI"/>
        </w:rPr>
        <w:t xml:space="preserve">Portfolio Business sisälsi myös </w:t>
      </w:r>
      <w:r w:rsidRPr="005B28D7">
        <w:rPr>
          <w:szCs w:val="15"/>
          <w:lang w:val="fi-FI"/>
        </w:rPr>
        <w:t>Wärtsilä ELAC Nautik GmbH</w:t>
      </w:r>
      <w:r w:rsidR="006762F1">
        <w:rPr>
          <w:szCs w:val="15"/>
          <w:lang w:val="fi-FI"/>
        </w:rPr>
        <w:t>:n</w:t>
      </w:r>
      <w:r w:rsidRPr="005B28D7">
        <w:rPr>
          <w:szCs w:val="15"/>
          <w:lang w:val="fi-FI"/>
        </w:rPr>
        <w:t xml:space="preserve"> osakkeiden myyntiin asti</w:t>
      </w:r>
      <w:r>
        <w:rPr>
          <w:szCs w:val="15"/>
          <w:lang w:val="fi-FI"/>
        </w:rPr>
        <w:t>. Myynti</w:t>
      </w:r>
      <w:r w:rsidRPr="005B28D7">
        <w:rPr>
          <w:szCs w:val="15"/>
          <w:lang w:val="fi-FI"/>
        </w:rPr>
        <w:t xml:space="preserve"> saati</w:t>
      </w:r>
      <w:r w:rsidRPr="005B28D7">
        <w:rPr>
          <w:szCs w:val="15"/>
          <w:lang w:val="fi-FI"/>
        </w:rPr>
        <w:t>in päätökseen 2.</w:t>
      </w:r>
      <w:r>
        <w:rPr>
          <w:szCs w:val="15"/>
          <w:lang w:val="fi-FI"/>
        </w:rPr>
        <w:t>12.</w:t>
      </w:r>
      <w:r w:rsidRPr="005B28D7">
        <w:rPr>
          <w:szCs w:val="15"/>
          <w:lang w:val="fi-FI"/>
        </w:rPr>
        <w:t>2020.</w:t>
      </w:r>
    </w:p>
    <w:p w:rsidR="00215BC6" w:rsidRPr="00215BC6" w:rsidP="00F45225" w14:paraId="61EFC912" w14:textId="77777777">
      <w:pPr>
        <w:pStyle w:val="Bodytext2"/>
        <w:rPr>
          <w:szCs w:val="15"/>
          <w:lang w:val="fi-FI"/>
        </w:rPr>
      </w:pPr>
    </w:p>
    <w:p w:rsidR="00F45225" w:rsidRPr="00126FBB" w:rsidP="00F45225" w14:paraId="1F853B39" w14:textId="268DBCC3">
      <w:pPr>
        <w:pStyle w:val="Bodytext2"/>
        <w:rPr>
          <w:szCs w:val="15"/>
          <w:lang w:val="fi-FI"/>
        </w:rPr>
      </w:pPr>
      <w:r w:rsidRPr="00126FBB">
        <w:rPr>
          <w:szCs w:val="15"/>
          <w:lang w:val="fi-FI"/>
        </w:rPr>
        <w:t>Segmenttiraportoin</w:t>
      </w:r>
      <w:r>
        <w:rPr>
          <w:szCs w:val="15"/>
          <w:lang w:val="fi-FI"/>
        </w:rPr>
        <w:t>n</w:t>
      </w:r>
      <w:r w:rsidRPr="00126FBB">
        <w:rPr>
          <w:szCs w:val="15"/>
          <w:lang w:val="fi-FI"/>
        </w:rPr>
        <w:t>in</w:t>
      </w:r>
      <w:r>
        <w:rPr>
          <w:szCs w:val="15"/>
          <w:lang w:val="fi-FI"/>
        </w:rPr>
        <w:t xml:space="preserve"> ja huoltotoimintainformaation</w:t>
      </w:r>
      <w:r w:rsidRPr="00126FBB">
        <w:rPr>
          <w:szCs w:val="15"/>
          <w:lang w:val="fi-FI"/>
        </w:rPr>
        <w:t xml:space="preserve"> osalta vertailukauden luvut on oikaistu vastaamaan uutta organisaatiorakennetta.</w:t>
      </w:r>
    </w:p>
    <w:p w:rsidR="00F45225" w:rsidRPr="00126FBB" w:rsidP="00F45225" w14:paraId="553DB9EB" w14:textId="77777777">
      <w:pPr>
        <w:pStyle w:val="Bodytext2"/>
        <w:rPr>
          <w:szCs w:val="15"/>
          <w:lang w:val="fi-FI"/>
        </w:rPr>
      </w:pPr>
    </w:p>
    <w:tbl>
      <w:tblPr>
        <w:tblStyle w:val="TableNormal"/>
        <w:tblCaption w:val="Table_segment_information"/>
        <w:tblDescription w:val="MEUR"/>
        <w:tblW w:w="7350" w:type="dxa"/>
        <w:tblLayout w:type="fixed"/>
        <w:tblLook w:val="0600"/>
      </w:tblPr>
      <w:tblGrid>
        <w:gridCol w:w="4860"/>
        <w:gridCol w:w="1245"/>
        <w:gridCol w:w="1245"/>
      </w:tblGrid>
      <w:tr>
        <w:tblPrEx>
          <w:tblW w:w="7350" w:type="dxa"/>
          <w:tblLayout w:type="fixed"/>
          <w:tblLook w:val="0600"/>
        </w:tblPrEx>
        <w:trPr>
          <w:trHeight w:val="240"/>
        </w:trPr>
        <w:tc>
          <w:tcPr>
            <w:tcW w:w="486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Liikevaihto</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1 748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1 923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1 620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1 779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00000"/>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181</w:t>
            </w:r>
          </w:p>
        </w:tc>
        <w:tc>
          <w:tcPr>
            <w:tcW w:w="1245"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00000"/>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00000"/>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4 604</w:t>
            </w:r>
          </w:p>
        </w:tc>
        <w:tc>
          <w:tcPr>
            <w:tcW w:w="1245" w:type="dxa"/>
            <w:tcBorders>
              <w:top w:val="single" w:sz="8" w:space="0" w:color="000000"/>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5 170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Poistot ja arvonalentumiset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00000"/>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Osuus osakkuus- ja yhteisyritysten tuloksista</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Liiketulos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00000"/>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234</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Liiketulos prosentteina liikevaihdosta (%)</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00000"/>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-16,2</w:t>
            </w:r>
          </w:p>
        </w:tc>
        <w:tc>
          <w:tcPr>
            <w:tcW w:w="1245"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00000"/>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00000"/>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c>
          <w:tcPr>
            <w:tcW w:w="1245" w:type="dxa"/>
            <w:tcBorders>
              <w:top w:val="single" w:sz="8" w:space="0" w:color="000000"/>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Vertailukelpoinen liiketulos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00000"/>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275</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Vertailukelpoinen liiketulos prosentteina liikevaihdosta (%)</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00000"/>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w:t>
            </w:r>
          </w:p>
        </w:tc>
      </w:tr>
    </w:tbl>
    <w:p w:rsidR="00F45225" w:rsidRPr="00CF4496" w:rsidP="00F45225" w14:paraId="27F08B31" w14:textId="77777777">
      <w:pPr>
        <w:pStyle w:val="Bodytext2"/>
        <w:rPr>
          <w:szCs w:val="15"/>
          <w:lang w:val="fi-FI"/>
        </w:rPr>
      </w:pPr>
    </w:p>
    <w:p w:rsidR="00215BC6" w:rsidRPr="00CF4496" w:rsidP="00215BC6" w14:paraId="7F9EBFC9" w14:textId="01133B9B">
      <w:pPr>
        <w:pStyle w:val="Heading13"/>
        <w:rPr>
          <w:lang w:val="fi-FI"/>
        </w:rPr>
      </w:pPr>
      <w:r w:rsidRPr="00215BC6">
        <w:rPr>
          <w:lang w:val="fi-FI"/>
        </w:rPr>
        <w:t>Vaihtoehtoiset tunnusluvut</w:t>
      </w:r>
    </w:p>
    <w:p w:rsidR="00215BC6" w:rsidRPr="00215BC6" w:rsidP="00215BC6" w14:paraId="48AA2EE6" w14:textId="77777777">
      <w:pPr>
        <w:pStyle w:val="Bodytext2"/>
        <w:rPr>
          <w:szCs w:val="15"/>
          <w:lang w:val="fi-FI"/>
        </w:rPr>
      </w:pPr>
      <w:r w:rsidRPr="00215BC6">
        <w:rPr>
          <w:szCs w:val="15"/>
          <w:lang w:val="fi-FI"/>
        </w:rPr>
        <w:t>Wärtsilä esittää tiettyjä taloudellisia tunnuslukuja, joita ei ole määritelty IFRS-standardeissa. Vaihtoehtoiset tunnusluvut ovat johdon seuraamia ja käyttämiä tunnuslukuja heidän arvioidessaan yhtiön liiketoiminnan kehitystä ja taloudellisesta tilannetta.</w:t>
      </w:r>
      <w:r w:rsidRPr="00215BC6">
        <w:rPr>
          <w:szCs w:val="15"/>
          <w:lang w:val="fi-FI"/>
        </w:rPr>
        <w:t xml:space="preserve"> Vaihtoehtoiset tunnusluvut antavat hyödyllistä tietoa myös pääomamarkkinoille.</w:t>
      </w:r>
    </w:p>
    <w:p w:rsidR="00215BC6" w:rsidRPr="00215BC6" w:rsidP="00215BC6" w14:paraId="43D607EB" w14:textId="77777777">
      <w:pPr>
        <w:pStyle w:val="Bodytext2"/>
        <w:rPr>
          <w:szCs w:val="15"/>
          <w:lang w:val="fi-FI"/>
        </w:rPr>
      </w:pPr>
    </w:p>
    <w:p w:rsidR="00215BC6" w:rsidRPr="00215BC6" w:rsidP="00215BC6" w14:paraId="04FA9E76" w14:textId="21021F00">
      <w:pPr>
        <w:pStyle w:val="Bodytext2"/>
        <w:rPr>
          <w:szCs w:val="15"/>
          <w:lang w:val="fi-FI"/>
        </w:rPr>
      </w:pPr>
      <w:r w:rsidRPr="00215BC6">
        <w:rPr>
          <w:szCs w:val="15"/>
          <w:lang w:val="fi-FI"/>
        </w:rPr>
        <w:t xml:space="preserve">Wärtsilän esittämiä vaihtoehtoisia tunnuslukuja ei pidä tarkastella erillään IFRS-tunnusluvuista. </w:t>
      </w:r>
      <w:r w:rsidR="00690DE9">
        <w:rPr>
          <w:szCs w:val="15"/>
          <w:lang w:val="fi-FI"/>
        </w:rPr>
        <w:t>Vaihtoehtoisten t</w:t>
      </w:r>
      <w:r w:rsidRPr="00215BC6">
        <w:rPr>
          <w:szCs w:val="15"/>
          <w:lang w:val="fi-FI"/>
        </w:rPr>
        <w:t>unnuslukujen laskentakaavat ovat luettavissa osiossa Tunnuslukujen laskentakaavat.</w:t>
      </w:r>
    </w:p>
    <w:p w:rsidR="00215BC6" w:rsidP="00215BC6" w14:paraId="63B4AE27" w14:textId="77777777">
      <w:pPr>
        <w:pStyle w:val="Bodytext2"/>
        <w:rPr>
          <w:szCs w:val="15"/>
          <w:lang w:val="fi-FI"/>
        </w:rPr>
      </w:pPr>
    </w:p>
    <w:p w:rsidR="00215BC6" w:rsidRPr="00215BC6" w:rsidP="00215BC6" w14:paraId="4A7779FE" w14:textId="29BA5BBE">
      <w:pPr>
        <w:pStyle w:val="Bodytext2"/>
        <w:rPr>
          <w:szCs w:val="15"/>
          <w:lang w:val="fi-FI"/>
        </w:rPr>
      </w:pPr>
      <w:r w:rsidRPr="00215BC6">
        <w:rPr>
          <w:szCs w:val="15"/>
          <w:lang w:val="fi-FI"/>
        </w:rPr>
        <w:t>Wärtsilä julkistaa tiettyjä vertailukelpoisia tunnuslukuja kausien vertailtavuuden parantamiseksi. Tietyt tuotot ja kulut esitetään vertailukelpoisuuteen vaikuttavina erinä</w:t>
      </w:r>
      <w:r w:rsidRPr="00215BC6">
        <w:rPr>
          <w:szCs w:val="15"/>
          <w:lang w:val="fi-FI"/>
        </w:rPr>
        <w:t>, kun niillä on merkittävä vaikutus konsernin tuloslaskelmaan. Vertailukelpoisuuteen vaikuttavat erät koostuvat tuloista ja kuluista, jotka johtuvat Wärtsilän toiminnan kapasiteetin sopeuttamiseen tähtäävistä uudelleenjärjestelytoimista. Ne voivat myös sis</w:t>
      </w:r>
      <w:r w:rsidRPr="00215BC6">
        <w:rPr>
          <w:szCs w:val="15"/>
          <w:lang w:val="fi-FI"/>
        </w:rPr>
        <w:t>ältää muita tuottoja ja kuluja, jotka eivät liity Wärtsilän no</w:t>
      </w:r>
      <w:r>
        <w:rPr>
          <w:szCs w:val="15"/>
          <w:lang w:val="fi-FI"/>
        </w:rPr>
        <w:t>r</w:t>
      </w:r>
      <w:r w:rsidRPr="00215BC6">
        <w:rPr>
          <w:szCs w:val="15"/>
          <w:lang w:val="fi-FI"/>
        </w:rPr>
        <w:t>maaliin liiketoimintaan</w:t>
      </w:r>
      <w:r w:rsidR="006F46A5">
        <w:rPr>
          <w:szCs w:val="15"/>
          <w:lang w:val="fi-FI"/>
        </w:rPr>
        <w:t>,</w:t>
      </w:r>
      <w:r w:rsidRPr="00215BC6">
        <w:rPr>
          <w:szCs w:val="15"/>
          <w:lang w:val="fi-FI"/>
        </w:rPr>
        <w:t xml:space="preserve"> kuten arvonalentumistappiota, yrityshankintoihin liittyviä kuluja, kolmansien osapuolten kanssa käydyn oikeudenkäynnin seurauksena kirjattuja kuluja tai </w:t>
      </w:r>
      <w:r w:rsidR="006F46A5">
        <w:rPr>
          <w:szCs w:val="15"/>
          <w:lang w:val="fi-FI"/>
        </w:rPr>
        <w:t>lopetettuihin toimintoihin liittyviä o</w:t>
      </w:r>
      <w:r w:rsidRPr="00215BC6">
        <w:rPr>
          <w:szCs w:val="15"/>
          <w:lang w:val="fi-FI"/>
        </w:rPr>
        <w:t>dottamattomia v</w:t>
      </w:r>
      <w:r w:rsidR="006F46A5">
        <w:rPr>
          <w:szCs w:val="15"/>
          <w:lang w:val="fi-FI"/>
        </w:rPr>
        <w:t>elvoitteita.</w:t>
      </w:r>
    </w:p>
    <w:p w:rsidR="00215BC6" w:rsidRPr="00215BC6" w:rsidP="00215BC6" w14:paraId="648FDEBC" w14:textId="77777777">
      <w:pPr>
        <w:pStyle w:val="Bodytext2"/>
        <w:rPr>
          <w:szCs w:val="15"/>
          <w:lang w:val="fi-FI"/>
        </w:rPr>
      </w:pPr>
    </w:p>
    <w:p w:rsidR="00215BC6" w:rsidRPr="00215BC6" w:rsidP="00215BC6" w14:paraId="52874514" w14:textId="5C591954">
      <w:pPr>
        <w:pStyle w:val="Bodytext2"/>
        <w:rPr>
          <w:szCs w:val="15"/>
          <w:lang w:val="fi-FI"/>
        </w:rPr>
      </w:pPr>
      <w:r w:rsidRPr="00215BC6">
        <w:rPr>
          <w:szCs w:val="15"/>
          <w:lang w:val="fi-FI"/>
        </w:rPr>
        <w:t>Täsmäytyslaskelma vertailukelpoisesta liiketuloksesta liiketulokseen on esitetty alla olevassa taulukossa</w:t>
      </w:r>
      <w:r w:rsidR="00126FBB">
        <w:rPr>
          <w:szCs w:val="15"/>
          <w:lang w:val="fi-FI"/>
        </w:rPr>
        <w:t>.</w:t>
      </w:r>
    </w:p>
    <w:p w:rsidR="00215BC6" w:rsidRPr="00215BC6" w:rsidP="00F45225" w14:paraId="2EB9B9FA" w14:textId="77777777">
      <w:pPr>
        <w:pStyle w:val="Bodytext2"/>
        <w:rPr>
          <w:szCs w:val="15"/>
          <w:lang w:val="fi-FI"/>
        </w:rPr>
      </w:pPr>
    </w:p>
    <w:p w:rsidR="00F45225" w:rsidRPr="00215BC6" w:rsidP="00F45225" w14:paraId="6DA02C57" w14:textId="3986DFD3">
      <w:pPr>
        <w:pStyle w:val="Heading13"/>
        <w:rPr>
          <w:lang w:val="fi-FI"/>
        </w:rPr>
      </w:pPr>
      <w:r w:rsidRPr="00215BC6">
        <w:rPr>
          <w:lang w:val="fi-FI"/>
        </w:rPr>
        <w:t>Tuloksen määreet ja vertailukelpoisuuteen vaikuttavat e</w:t>
      </w:r>
      <w:r>
        <w:rPr>
          <w:lang w:val="fi-FI"/>
        </w:rPr>
        <w:t>rät</w:t>
      </w:r>
    </w:p>
    <w:p w:rsidR="00F45225" w:rsidRPr="00215BC6" w:rsidP="00F45225" w14:paraId="34D20715" w14:textId="77777777">
      <w:pPr>
        <w:pStyle w:val="Bodytext2"/>
        <w:rPr>
          <w:szCs w:val="15"/>
          <w:lang w:val="fi-FI"/>
        </w:rPr>
      </w:pPr>
    </w:p>
    <w:tbl>
      <w:tblPr>
        <w:tblStyle w:val="TableNormal"/>
        <w:tblCaption w:val="Table_NRI"/>
        <w:tblDescription w:val="Measures of profit and items affecting comparability"/>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Vertailukelpoinen oikaistu EBITA</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308</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Hankintamenojen allokointeihin liittyvät poistot</w:t>
            </w:r>
          </w:p>
        </w:tc>
        <w:tc>
          <w:tcPr>
            <w:tcW w:w="124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Vertailukelpoinen liiketulos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Vertailukelpoisuuteen vaikuttavat erät: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nil"/>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Henkilöstön vähentämiseen liittyvät kulut</w:t>
            </w:r>
          </w:p>
        </w:tc>
        <w:tc>
          <w:tcPr>
            <w:tcW w:w="1245" w:type="dxa"/>
            <w:tcBorders>
              <w:top w:val="nil"/>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24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Arvonalentumiset ja alaskirjaukset</w:t>
            </w:r>
          </w:p>
        </w:tc>
        <w:tc>
          <w:tcPr>
            <w:tcW w:w="124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124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Voitot ja tappiot yritysmyynneistä</w:t>
            </w:r>
          </w:p>
        </w:tc>
        <w:tc>
          <w:tcPr>
            <w:tcW w:w="124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8" w:space="0" w:color="000000"/>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kulut</w:t>
            </w:r>
          </w:p>
        </w:tc>
        <w:tc>
          <w:tcPr>
            <w:tcW w:w="1245" w:type="dxa"/>
            <w:tcBorders>
              <w:top w:val="single" w:sz="4" w:space="0" w:color="004A6B"/>
              <w:left w:val="nil"/>
              <w:bottom w:val="single" w:sz="8" w:space="0" w:color="000000"/>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245"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Vertailukelpoisuuteen vaikuttavat erät yhteensä</w:t>
            </w:r>
          </w:p>
        </w:tc>
        <w:tc>
          <w:tcPr>
            <w:tcW w:w="12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2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Liiketulos</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234</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362</w:t>
            </w:r>
          </w:p>
        </w:tc>
      </w:tr>
    </w:tbl>
    <w:p w:rsidR="00F45225" w:rsidRPr="00CF4496" w:rsidP="00F45225" w14:paraId="1022F78C" w14:textId="77777777">
      <w:pPr>
        <w:pStyle w:val="Bodytext2"/>
        <w:rPr>
          <w:szCs w:val="15"/>
          <w:lang w:val="fi-FI"/>
        </w:rPr>
      </w:pPr>
    </w:p>
    <w:p w:rsidR="00F45225" w:rsidRPr="00215BC6" w:rsidP="00F45225" w14:paraId="287F643E" w14:textId="43D97AAD">
      <w:pPr>
        <w:pStyle w:val="Heading13"/>
        <w:rPr>
          <w:lang w:val="fi-FI"/>
        </w:rPr>
      </w:pPr>
      <w:r w:rsidRPr="007D4A82">
        <w:rPr>
          <w:color w:val="auto"/>
          <w:lang w:val="fi-FI"/>
        </w:rPr>
        <w:t>Konsernitason t</w:t>
      </w:r>
      <w:r w:rsidRPr="00215BC6">
        <w:rPr>
          <w:lang w:val="fi-FI"/>
        </w:rPr>
        <w:t>iedot</w:t>
      </w:r>
    </w:p>
    <w:p w:rsidR="00215BC6" w:rsidP="00215BC6" w14:paraId="2E887A59" w14:textId="5A5FA913">
      <w:pPr>
        <w:pStyle w:val="Bodytext2"/>
        <w:rPr>
          <w:lang w:val="fi-FI"/>
        </w:rPr>
      </w:pPr>
      <w:r w:rsidRPr="00215BC6">
        <w:rPr>
          <w:lang w:val="fi-FI"/>
        </w:rPr>
        <w:t>Segmentti-informaation lisäksi Wärtsilä raportoi segmenttien sekä muiden liiketoimintojen yhteenlasketun palvelu</w:t>
      </w:r>
      <w:r>
        <w:rPr>
          <w:lang w:val="fi-FI"/>
        </w:rPr>
        <w:t xml:space="preserve">iden </w:t>
      </w:r>
      <w:r w:rsidRPr="00215BC6">
        <w:rPr>
          <w:lang w:val="fi-FI"/>
        </w:rPr>
        <w:t>liikevaihdon.</w:t>
      </w:r>
    </w:p>
    <w:p w:rsidR="00B723CF" w:rsidP="00215BC6" w14:paraId="76E1D43A" w14:textId="62A49A3E">
      <w:pPr>
        <w:pStyle w:val="Bodytext2"/>
        <w:rPr>
          <w:lang w:val="fi-FI"/>
        </w:rPr>
      </w:pPr>
    </w:p>
    <w:p w:rsidR="00B723CF" w:rsidRPr="00B723CF" w:rsidP="00E02DAB" w14:paraId="5FBE2067" w14:textId="1C08C4DF">
      <w:pPr>
        <w:pStyle w:val="Bodytext2"/>
        <w:rPr>
          <w:lang w:val="fi-FI"/>
        </w:rPr>
      </w:pPr>
      <w:r w:rsidRPr="00B723CF">
        <w:rPr>
          <w:lang w:val="fi-FI"/>
        </w:rPr>
        <w:t>Wärtsilän maantieteelliset raportointialueet ovat Suomi, muu Eurooppa, Aasia, Amerikka ja muut.</w:t>
      </w:r>
      <w:r w:rsidR="00E02DAB">
        <w:rPr>
          <w:lang w:val="fi-FI"/>
        </w:rPr>
        <w:t xml:space="preserve"> </w:t>
      </w:r>
      <w:r w:rsidRPr="00C42ACD">
        <w:rPr>
          <w:lang w:val="fi-FI"/>
        </w:rPr>
        <w:t>Maantieteellinen informaati</w:t>
      </w:r>
      <w:r w:rsidRPr="00C42ACD">
        <w:rPr>
          <w:lang w:val="fi-FI"/>
        </w:rPr>
        <w:t>o määräytyy</w:t>
      </w:r>
      <w:r>
        <w:rPr>
          <w:lang w:val="fi-FI"/>
        </w:rPr>
        <w:t xml:space="preserve"> </w:t>
      </w:r>
      <w:r w:rsidRPr="00C42ACD">
        <w:rPr>
          <w:lang w:val="fi-FI"/>
        </w:rPr>
        <w:t>liikevaihdon osalta asiakkaan kotimaan mukaan sekä pitkäaikaisten varojen osalta sen mukaan, missä ne sijaitsevat.</w:t>
      </w:r>
      <w:r>
        <w:rPr>
          <w:lang w:val="fi-FI"/>
        </w:rPr>
        <w:t xml:space="preserve"> </w:t>
      </w:r>
      <w:r w:rsidRPr="00C42ACD">
        <w:rPr>
          <w:lang w:val="fi-FI"/>
        </w:rPr>
        <w:t>Pitkäaikai</w:t>
      </w:r>
      <w:r w:rsidR="00E02DAB">
        <w:rPr>
          <w:lang w:val="fi-FI"/>
        </w:rPr>
        <w:t>s</w:t>
      </w:r>
      <w:r w:rsidRPr="00C42ACD">
        <w:rPr>
          <w:lang w:val="fi-FI"/>
        </w:rPr>
        <w:t>e</w:t>
      </w:r>
      <w:r>
        <w:rPr>
          <w:lang w:val="fi-FI"/>
        </w:rPr>
        <w:t>t</w:t>
      </w:r>
      <w:r w:rsidRPr="00C42ACD">
        <w:rPr>
          <w:lang w:val="fi-FI"/>
        </w:rPr>
        <w:t xml:space="preserve"> </w:t>
      </w:r>
      <w:r w:rsidR="00E02DAB">
        <w:rPr>
          <w:lang w:val="fi-FI"/>
        </w:rPr>
        <w:t>varat</w:t>
      </w:r>
      <w:r w:rsidRPr="00C42ACD">
        <w:rPr>
          <w:lang w:val="fi-FI"/>
        </w:rPr>
        <w:t xml:space="preserve"> koostu</w:t>
      </w:r>
      <w:r w:rsidR="00E02DAB">
        <w:rPr>
          <w:lang w:val="fi-FI"/>
        </w:rPr>
        <w:t>vat</w:t>
      </w:r>
      <w:r w:rsidRPr="00C42ACD">
        <w:rPr>
          <w:lang w:val="fi-FI"/>
        </w:rPr>
        <w:t xml:space="preserve"> liikearvosta, </w:t>
      </w:r>
      <w:r w:rsidR="00E02DAB">
        <w:rPr>
          <w:lang w:val="fi-FI"/>
        </w:rPr>
        <w:t xml:space="preserve">muista </w:t>
      </w:r>
      <w:r w:rsidRPr="00C42ACD">
        <w:rPr>
          <w:lang w:val="fi-FI"/>
        </w:rPr>
        <w:t>aineettom</w:t>
      </w:r>
      <w:r w:rsidR="00E02DAB">
        <w:rPr>
          <w:lang w:val="fi-FI"/>
        </w:rPr>
        <w:t>i</w:t>
      </w:r>
      <w:r w:rsidRPr="00C42ACD">
        <w:rPr>
          <w:lang w:val="fi-FI"/>
        </w:rPr>
        <w:t xml:space="preserve">sta </w:t>
      </w:r>
      <w:r w:rsidR="00E02DAB">
        <w:rPr>
          <w:lang w:val="fi-FI"/>
        </w:rPr>
        <w:t>hyödykkeistä</w:t>
      </w:r>
      <w:r w:rsidRPr="00C42ACD">
        <w:rPr>
          <w:lang w:val="fi-FI"/>
        </w:rPr>
        <w:t>, aineellisista hyödykkeistä, käyttöoikeusomaisuuseristä sekä sijoituksista osakkuus- ja yhteisyrityksiin.</w:t>
      </w:r>
    </w:p>
    <w:p w:rsidR="00F45225" w:rsidRPr="00215BC6" w:rsidP="00E02DAB" w14:paraId="16C1B2D2" w14:textId="77777777">
      <w:pPr>
        <w:pStyle w:val="Bodytext2"/>
        <w:rPr>
          <w:lang w:val="fi-FI"/>
        </w:rPr>
      </w:pPr>
    </w:p>
    <w:p w:rsidR="00126FBB" w:rsidP="00126FBB" w14:paraId="1A38F151" w14:textId="4ED1F824">
      <w:pPr>
        <w:pStyle w:val="Heading13"/>
        <w:rPr>
          <w:lang w:val="fi-FI"/>
        </w:rPr>
      </w:pPr>
      <w:r w:rsidRPr="00126FBB">
        <w:rPr>
          <w:lang w:val="fi-FI"/>
        </w:rPr>
        <w:t>Maantieteellinen informaati</w:t>
      </w:r>
      <w:r>
        <w:rPr>
          <w:lang w:val="fi-FI"/>
        </w:rPr>
        <w:t>o</w:t>
      </w:r>
    </w:p>
    <w:p w:rsidR="00F45225" w:rsidRPr="008C58D1" w:rsidP="00F45225" w14:paraId="7EBB6CB0" w14:textId="026815C5">
      <w:pPr>
        <w:pStyle w:val="Bodytext2"/>
        <w:rPr>
          <w:sz w:val="2"/>
          <w:szCs w:val="2"/>
          <w:lang w:val="fi-FI"/>
        </w:rPr>
      </w:pPr>
      <w:r w:rsidRPr="00126FBB">
        <w:rPr>
          <w:szCs w:val="15"/>
          <w:lang w:val="fi-FI"/>
        </w:rPr>
        <w:t>Tilikausilla 1.1.–31.12.20</w:t>
      </w:r>
      <w:r>
        <w:rPr>
          <w:szCs w:val="15"/>
          <w:lang w:val="fi-FI"/>
        </w:rPr>
        <w:t>20</w:t>
      </w:r>
      <w:r w:rsidRPr="00126FBB">
        <w:rPr>
          <w:szCs w:val="15"/>
          <w:lang w:val="fi-FI"/>
        </w:rPr>
        <w:t xml:space="preserve"> ja 1.1.–31.12.201</w:t>
      </w:r>
      <w:r>
        <w:rPr>
          <w:szCs w:val="15"/>
          <w:lang w:val="fi-FI"/>
        </w:rPr>
        <w:t>9</w:t>
      </w:r>
      <w:r w:rsidRPr="00126FBB">
        <w:rPr>
          <w:szCs w:val="15"/>
          <w:lang w:val="fi-FI"/>
        </w:rPr>
        <w:t xml:space="preserve"> Wärtsilällä ei ole ollut yksittäisiä merkittäviä asiakkaita eikä maita.</w:t>
      </w:r>
      <w:r w:rsidRPr="00126FBB">
        <w:rPr>
          <w:szCs w:val="15"/>
          <w:lang w:val="fi-FI"/>
        </w:rPr>
        <w:t xml:space="preserve"> Myynti Yhdysvaltoihin oli </w:t>
      </w:r>
      <w:r>
        <w:rPr>
          <w:szCs w:val="15"/>
          <w:lang w:val="fi-FI"/>
        </w:rPr>
        <w:t>11</w:t>
      </w:r>
      <w:r w:rsidRPr="00126FBB">
        <w:rPr>
          <w:szCs w:val="15"/>
          <w:lang w:val="fi-FI"/>
        </w:rPr>
        <w:t>% (1</w:t>
      </w:r>
      <w:r>
        <w:rPr>
          <w:szCs w:val="15"/>
          <w:lang w:val="fi-FI"/>
        </w:rPr>
        <w:t>1</w:t>
      </w:r>
      <w:r w:rsidRPr="00126FBB">
        <w:rPr>
          <w:szCs w:val="15"/>
          <w:lang w:val="fi-FI"/>
        </w:rPr>
        <w:t xml:space="preserve">) ja myynti Kiinaan </w:t>
      </w:r>
      <w:r>
        <w:rPr>
          <w:szCs w:val="15"/>
          <w:lang w:val="fi-FI"/>
        </w:rPr>
        <w:t>10</w:t>
      </w:r>
      <w:r w:rsidRPr="00126FBB">
        <w:rPr>
          <w:szCs w:val="15"/>
          <w:lang w:val="fi-FI"/>
        </w:rPr>
        <w:t>% (</w:t>
      </w:r>
      <w:r>
        <w:rPr>
          <w:szCs w:val="15"/>
          <w:lang w:val="fi-FI"/>
        </w:rPr>
        <w:t>11</w:t>
      </w:r>
      <w:r w:rsidRPr="00126FBB">
        <w:rPr>
          <w:szCs w:val="15"/>
          <w:lang w:val="fi-FI"/>
        </w:rPr>
        <w:t>) kokonaisliikevaihdosta.</w:t>
      </w:r>
      <w:r>
        <w:rPr>
          <w:szCs w:val="15"/>
          <w:lang w:val="fi-FI"/>
        </w:rPr>
        <w:br w:type="column"/>
      </w:r>
    </w:p>
    <w:tbl>
      <w:tblPr>
        <w:tblStyle w:val="TableNormal"/>
        <w:tblCaption w:val="Table_Geographical_information"/>
        <w:tblDescription w:val="MEUR"/>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Liikevaihto</w:t>
            </w: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Suomi</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98</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 Eurooppa</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1 445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1 612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Aasia</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1 570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1 968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Amerikka</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1 077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1 098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415</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4 604</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5 170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varat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Suomi</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 Eurooppa</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1 515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1 595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Aasia</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Amerikka</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2 183</w:t>
            </w:r>
          </w:p>
        </w:tc>
        <w:tc>
          <w:tcPr>
            <w:tcW w:w="124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2 310</w:t>
            </w:r>
          </w:p>
        </w:tc>
      </w:tr>
    </w:tbl>
    <w:p w:rsidR="00F45225" w:rsidRPr="00CF4496" w:rsidP="00F45225" w14:paraId="41AF836A" w14:textId="77777777">
      <w:pPr>
        <w:pStyle w:val="Bodytext2"/>
        <w:rPr>
          <w:szCs w:val="15"/>
          <w:lang w:val="fi-FI"/>
        </w:rPr>
      </w:pPr>
    </w:p>
    <w:p w:rsidR="00F45225" w:rsidRPr="00060298" w:rsidP="00060298" w14:paraId="05515CA4" w14:textId="4089A6DD">
      <w:pPr>
        <w:pStyle w:val="Heading13"/>
      </w:pPr>
      <w:r w:rsidRPr="00060298">
        <w:t>Palveluiden liikevaihto</w:t>
      </w:r>
    </w:p>
    <w:p w:rsidR="00F45225" w:rsidP="00F45225" w14:paraId="1D5BBEF8" w14:textId="77777777">
      <w:pPr>
        <w:pStyle w:val="Bodytext2"/>
        <w:rPr>
          <w:szCs w:val="15"/>
        </w:rPr>
      </w:pPr>
    </w:p>
    <w:tbl>
      <w:tblPr>
        <w:tblStyle w:val="TableNormal"/>
        <w:tblCaption w:val="Table_Service_information"/>
        <w:tblDescription w:val="Service information"/>
        <w:tblW w:w="7350" w:type="dxa"/>
        <w:tblLayout w:type="fixed"/>
        <w:tblLook w:val="0600"/>
      </w:tblPr>
      <w:tblGrid>
        <w:gridCol w:w="4860"/>
        <w:gridCol w:w="1245"/>
        <w:gridCol w:w="1245"/>
      </w:tblGrid>
      <w:tr>
        <w:tblPrEx>
          <w:tblW w:w="7350" w:type="dxa"/>
          <w:tblLayout w:type="fixed"/>
          <w:tblLook w:val="0600"/>
        </w:tblPrEx>
        <w:trPr>
          <w:trHeight w:val="240"/>
        </w:trPr>
        <w:tc>
          <w:tcPr>
            <w:tcW w:w="486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Liikevaihto</w:t>
            </w: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 palvelut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1 096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1 279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 palvelut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 palvelut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 palvelut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 palvelut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2 255</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2 505</w:t>
            </w:r>
          </w:p>
        </w:tc>
      </w:tr>
    </w:tbl>
    <w:p/>
    <w:p w:rsidR="0087536A" w:rsidP="0087536A" w14:paraId="3DBEAAE2" w14:textId="15C8450F">
      <w:pPr>
        <w:pStyle w:val="Heading12"/>
      </w:pPr>
      <w:bookmarkStart w:id="1122" w:name="RG_MARKER_4695"/>
      <w:r>
        <w:t>2.2. MYYNTITUOTTOJEN TULOUTUS</w:t>
      </w:r>
      <w:bookmarkEnd w:id="1122"/>
    </w:p>
    <w:tbl>
      <w:tblPr>
        <w:tblStyle w:val="TableGrid"/>
        <w:tblW w:w="7371" w:type="dxa"/>
        <w:tblLook w:val="04A0"/>
      </w:tblPr>
      <w:tblGrid>
        <w:gridCol w:w="7371"/>
      </w:tblGrid>
      <w:tr w14:paraId="4ED79529" w14:textId="77777777" w:rsidTr="0087536A">
        <w:tblPrEx>
          <w:tblW w:w="7371" w:type="dxa"/>
          <w:tblLook w:val="04A0"/>
        </w:tblPrEx>
        <w:tc>
          <w:tcPr>
            <w:tcW w:w="7371" w:type="dxa"/>
            <w:tcBorders>
              <w:top w:val="nil"/>
              <w:left w:val="nil"/>
              <w:bottom w:val="nil"/>
              <w:right w:val="nil"/>
            </w:tcBorders>
            <w:shd w:val="clear" w:color="auto" w:fill="B6C8D1"/>
          </w:tcPr>
          <w:p w:rsidR="0087536A" w:rsidRPr="0035563C" w14:paraId="56AE67CF" w14:textId="3C97E6CD">
            <w:pPr>
              <w:pStyle w:val="Heading13"/>
              <w:rPr>
                <w:rFonts w:eastAsiaTheme="minorEastAsia" w:cstheme="minorHAnsi"/>
                <w:lang w:val="fi-FI" w:eastAsia="fi-FI"/>
              </w:rPr>
            </w:pPr>
            <w:r w:rsidRPr="0035563C">
              <w:rPr>
                <w:lang w:val="fi-FI"/>
              </w:rPr>
              <w:t>Laadintaperiaatteet</w:t>
            </w:r>
          </w:p>
          <w:p w:rsidR="0087536A" w14:paraId="26181E8F" w14:textId="7CA98F16">
            <w:pPr>
              <w:pStyle w:val="Bodytext2"/>
              <w:rPr>
                <w:lang w:val="fi-FI"/>
              </w:rPr>
            </w:pPr>
            <w:r w:rsidRPr="00252075">
              <w:rPr>
                <w:lang w:val="fi-FI"/>
              </w:rPr>
              <w:t>Tuotot on esitetty nettona, josta on vähennetty välilliset verot, sopimussakot ja alennukset. Tuotot kirjataan, kun tavaroiden hallinta tai palvelu luovutetaan asiakkaalle, siihen määrään, jonka konserni arvioi olevansa oikeutettu saamaan kyseisten tavaroi</w:t>
            </w:r>
            <w:r w:rsidRPr="00252075">
              <w:rPr>
                <w:lang w:val="fi-FI"/>
              </w:rPr>
              <w:t>den ja palveluiden luovutuksesta. Transaktion hintaan saattaa sisältyä erilaisia elementtejä, kuten sopimussakkoja, suoritusbonuksia ja alennuksia. Raportointipäivään mennessä kirjattu tuotto kuvastaa Wärtsilän tuottaman palvelun arvoa asiakkaalle.</w:t>
            </w:r>
          </w:p>
          <w:p w:rsidR="00252075" w:rsidRPr="00252075" w14:paraId="0FE32FEA" w14:textId="77777777">
            <w:pPr>
              <w:pStyle w:val="Bodytext2"/>
              <w:rPr>
                <w:rFonts w:eastAsiaTheme="minorEastAsia"/>
                <w:lang w:val="fi-FI" w:eastAsia="fi-FI"/>
              </w:rPr>
            </w:pPr>
          </w:p>
          <w:p w:rsidR="0087536A" w:rsidRPr="00C863F0" w14:paraId="06591451" w14:textId="670A97D9">
            <w:pPr>
              <w:pStyle w:val="Bodytext2"/>
              <w:rPr>
                <w:rFonts w:eastAsiaTheme="minorEastAsia"/>
                <w:lang w:val="fi-FI" w:eastAsia="fi-FI"/>
              </w:rPr>
            </w:pPr>
            <w:r w:rsidRPr="00C863F0">
              <w:rPr>
                <w:lang w:val="fi-FI"/>
              </w:rPr>
              <w:t>Konser</w:t>
            </w:r>
            <w:r w:rsidRPr="00C863F0">
              <w:rPr>
                <w:lang w:val="fi-FI"/>
              </w:rPr>
              <w:t>ni kirjaa myyntituottoa sitä mukaa kun yksilöidyn suoritevelvoitteen mukaista tavaraa tai palvelua luovutetaan asiakkaalle. Yleensä tavara tai palvelu katsotaan luovutetuksi, kun asiakas saa määräysvallan siihen.</w:t>
            </w:r>
            <w:r>
              <w:rPr>
                <w:lang w:val="fi-FI"/>
              </w:rPr>
              <w:t xml:space="preserve"> </w:t>
            </w:r>
            <w:r w:rsidRPr="00C863F0">
              <w:rPr>
                <w:lang w:val="fi-FI"/>
              </w:rPr>
              <w:t>Määräysvalta</w:t>
            </w:r>
            <w:r>
              <w:rPr>
                <w:lang w:val="fi-FI"/>
              </w:rPr>
              <w:t xml:space="preserve"> siirtyy joko yhtenä ajankohtan</w:t>
            </w:r>
            <w:r>
              <w:rPr>
                <w:lang w:val="fi-FI"/>
              </w:rPr>
              <w:t>a tai ajan kuluessa.</w:t>
            </w:r>
          </w:p>
          <w:p w:rsidR="0087536A" w:rsidRPr="00C863F0" w14:paraId="226D1C07" w14:textId="77777777">
            <w:pPr>
              <w:pStyle w:val="Bodytext2"/>
              <w:rPr>
                <w:rFonts w:eastAsiaTheme="minorEastAsia"/>
                <w:lang w:val="fi-FI" w:eastAsia="fi-FI"/>
              </w:rPr>
            </w:pPr>
          </w:p>
          <w:p w:rsidR="0087536A" w:rsidRPr="00252075" w14:paraId="4ED8FFA6" w14:textId="1692890B">
            <w:pPr>
              <w:pStyle w:val="Bodytext2"/>
              <w:rPr>
                <w:rFonts w:eastAsiaTheme="minorEastAsia"/>
                <w:lang w:val="fi-FI" w:eastAsia="fi-FI"/>
              </w:rPr>
            </w:pPr>
            <w:r w:rsidRPr="00252075">
              <w:rPr>
                <w:lang w:val="fi-FI"/>
              </w:rPr>
              <w:t xml:space="preserve">Asiakassopimuksista saadut tuotot ovat peräisin neljästä eri tulotyypistä. Kaikkia tulotyyppejä esiintyy </w:t>
            </w:r>
            <w:r>
              <w:rPr>
                <w:lang w:val="fi-FI"/>
              </w:rPr>
              <w:t>kaikissa</w:t>
            </w:r>
            <w:r w:rsidRPr="00252075">
              <w:rPr>
                <w:lang w:val="fi-FI"/>
              </w:rPr>
              <w:t xml:space="preserve"> raportoi</w:t>
            </w:r>
            <w:r>
              <w:rPr>
                <w:lang w:val="fi-FI"/>
              </w:rPr>
              <w:t>nti</w:t>
            </w:r>
            <w:r w:rsidRPr="00252075">
              <w:rPr>
                <w:lang w:val="fi-FI"/>
              </w:rPr>
              <w:t>segmenteissä ja muissa liiketoiminnoissa: Wärtsilä</w:t>
            </w:r>
            <w:r w:rsidRPr="00252075" w:rsidR="00164D7D">
              <w:rPr>
                <w:lang w:val="fi-FI"/>
              </w:rPr>
              <w:t xml:space="preserve"> Marine Power</w:t>
            </w:r>
            <w:r w:rsidRPr="00252075">
              <w:rPr>
                <w:lang w:val="fi-FI"/>
              </w:rPr>
              <w:t>issa</w:t>
            </w:r>
            <w:r w:rsidRPr="00252075" w:rsidR="00164D7D">
              <w:rPr>
                <w:lang w:val="fi-FI"/>
              </w:rPr>
              <w:t xml:space="preserve">, </w:t>
            </w:r>
            <w:r w:rsidRPr="00252075">
              <w:rPr>
                <w:lang w:val="fi-FI"/>
              </w:rPr>
              <w:t xml:space="preserve">Wärtsilä </w:t>
            </w:r>
            <w:r w:rsidRPr="00252075" w:rsidR="00164D7D">
              <w:rPr>
                <w:lang w:val="fi-FI"/>
              </w:rPr>
              <w:t>Marine Systems</w:t>
            </w:r>
            <w:r w:rsidRPr="00252075">
              <w:rPr>
                <w:lang w:val="fi-FI"/>
              </w:rPr>
              <w:t>issä</w:t>
            </w:r>
            <w:r w:rsidRPr="00252075" w:rsidR="00164D7D">
              <w:rPr>
                <w:lang w:val="fi-FI"/>
              </w:rPr>
              <w:t xml:space="preserve">, </w:t>
            </w:r>
            <w:r w:rsidRPr="00252075">
              <w:rPr>
                <w:lang w:val="fi-FI"/>
              </w:rPr>
              <w:t>Wärtsilä</w:t>
            </w:r>
            <w:r w:rsidRPr="00252075">
              <w:rPr>
                <w:lang w:val="fi-FI"/>
              </w:rPr>
              <w:t xml:space="preserve"> </w:t>
            </w:r>
            <w:r w:rsidRPr="00252075" w:rsidR="00164D7D">
              <w:rPr>
                <w:lang w:val="fi-FI"/>
              </w:rPr>
              <w:t>Voyage</w:t>
            </w:r>
            <w:r w:rsidRPr="00252075">
              <w:rPr>
                <w:lang w:val="fi-FI"/>
              </w:rPr>
              <w:t>issa</w:t>
            </w:r>
            <w:r w:rsidRPr="00252075" w:rsidR="00164D7D">
              <w:rPr>
                <w:lang w:val="fi-FI"/>
              </w:rPr>
              <w:t xml:space="preserve">, </w:t>
            </w:r>
            <w:r w:rsidRPr="00252075">
              <w:rPr>
                <w:lang w:val="fi-FI"/>
              </w:rPr>
              <w:t xml:space="preserve">Wärtsilä </w:t>
            </w:r>
            <w:r w:rsidRPr="00252075" w:rsidR="00164D7D">
              <w:rPr>
                <w:lang w:val="fi-FI"/>
              </w:rPr>
              <w:t>Energy</w:t>
            </w:r>
            <w:r w:rsidRPr="00252075">
              <w:rPr>
                <w:lang w:val="fi-FI"/>
              </w:rPr>
              <w:t xml:space="preserve">ssä ja Wärtsilä </w:t>
            </w:r>
            <w:r w:rsidRPr="00252075" w:rsidR="00164D7D">
              <w:rPr>
                <w:lang w:val="fi-FI"/>
              </w:rPr>
              <w:t>Portfolio Business</w:t>
            </w:r>
            <w:r w:rsidRPr="00252075">
              <w:rPr>
                <w:lang w:val="fi-FI"/>
              </w:rPr>
              <w:t>issä</w:t>
            </w:r>
            <w:r w:rsidRPr="00252075" w:rsidR="00164D7D">
              <w:rPr>
                <w:lang w:val="fi-FI"/>
              </w:rPr>
              <w:t>.</w:t>
            </w:r>
          </w:p>
          <w:p w:rsidR="0087536A" w:rsidRPr="00252075" w14:paraId="75D46B9A" w14:textId="77777777">
            <w:pPr>
              <w:pStyle w:val="Bodytext2"/>
              <w:rPr>
                <w:rFonts w:eastAsiaTheme="minorEastAsia"/>
                <w:lang w:val="fi-FI" w:eastAsia="fi-FI"/>
              </w:rPr>
            </w:pPr>
          </w:p>
          <w:p w:rsidR="0087536A" w:rsidRPr="00252075" w14:paraId="7D06D4E5" w14:textId="436DBBD9">
            <w:pPr>
              <w:pStyle w:val="Bodytext2"/>
              <w:rPr>
                <w:lang w:val="fi-FI"/>
              </w:rPr>
            </w:pPr>
            <w:r w:rsidRPr="00252075">
              <w:rPr>
                <w:lang w:val="fi-FI"/>
              </w:rPr>
              <w:t>Tuotemyynnit koostuvat varaosien ja standardilaitteistojen myynneistä, joista tuotot kirjataan sillä hetkellä, kun tuotteiden hallinta luovutetaan asiakkaalle, yleensä tavaroiden toimitta</w:t>
            </w:r>
            <w:r w:rsidRPr="00252075">
              <w:rPr>
                <w:lang w:val="fi-FI"/>
              </w:rPr>
              <w:t>misen yhteydessä. Tuotemyyntisopimukset sisältävät pääasiassa yhden suorit</w:t>
            </w:r>
            <w:r>
              <w:rPr>
                <w:lang w:val="fi-FI"/>
              </w:rPr>
              <w:t>e</w:t>
            </w:r>
            <w:r w:rsidRPr="00252075">
              <w:rPr>
                <w:lang w:val="fi-FI"/>
              </w:rPr>
              <w:t>velvoitteen.</w:t>
            </w:r>
          </w:p>
          <w:p w:rsidR="00252075" w:rsidRPr="00252075" w14:paraId="70C4E458" w14:textId="77777777">
            <w:pPr>
              <w:pStyle w:val="Bodytext2"/>
              <w:rPr>
                <w:rFonts w:eastAsiaTheme="minorEastAsia"/>
                <w:lang w:val="fi-FI" w:eastAsia="fi-FI"/>
              </w:rPr>
            </w:pPr>
          </w:p>
          <w:p w:rsidR="0087536A" w:rsidRPr="00252075" w14:paraId="0A224C68" w14:textId="1B081667">
            <w:pPr>
              <w:pStyle w:val="Bodytext2"/>
              <w:rPr>
                <w:rFonts w:eastAsiaTheme="minorEastAsia"/>
                <w:lang w:val="fi-FI" w:eastAsia="fi-FI"/>
              </w:rPr>
            </w:pPr>
            <w:r>
              <w:rPr>
                <w:lang w:val="fi-FI"/>
              </w:rPr>
              <w:t>Tuotteet</w:t>
            </w:r>
            <w:r w:rsidRPr="00252075">
              <w:rPr>
                <w:lang w:val="fi-FI"/>
              </w:rPr>
              <w:t xml:space="preserve"> ja palvelut -tyyppiset tulot liittyvät lyhytaikaisiin palvelusuorituksiin, joihin sisältyy palvelun ja laitteiden yhdistelmän toimittaminen. Tuotto kirjataan </w:t>
            </w:r>
            <w:r w:rsidRPr="00252075">
              <w:rPr>
                <w:lang w:val="fi-FI"/>
              </w:rPr>
              <w:t xml:space="preserve">sillä hetkellä, kun palvelu suoritetaan. </w:t>
            </w:r>
            <w:r>
              <w:rPr>
                <w:lang w:val="fi-FI"/>
              </w:rPr>
              <w:t>Tuotteet</w:t>
            </w:r>
            <w:r w:rsidRPr="00252075">
              <w:rPr>
                <w:lang w:val="fi-FI"/>
              </w:rPr>
              <w:t xml:space="preserve"> ja palvelut -tyyppiset sopimukset sisältävät pääasiassa yhden suorit</w:t>
            </w:r>
            <w:r>
              <w:rPr>
                <w:lang w:val="fi-FI"/>
              </w:rPr>
              <w:t>e</w:t>
            </w:r>
            <w:r w:rsidRPr="00252075">
              <w:rPr>
                <w:lang w:val="fi-FI"/>
              </w:rPr>
              <w:t>velvoitteen</w:t>
            </w:r>
            <w:r w:rsidRPr="00252075" w:rsidR="00164D7D">
              <w:rPr>
                <w:lang w:val="fi-FI"/>
              </w:rPr>
              <w:t>.</w:t>
            </w:r>
          </w:p>
          <w:p w:rsidR="0087536A" w:rsidRPr="00252075" w14:paraId="60D9E4F5" w14:textId="77777777">
            <w:pPr>
              <w:pStyle w:val="Bodytext2"/>
              <w:rPr>
                <w:rFonts w:eastAsiaTheme="minorEastAsia"/>
                <w:lang w:val="fi-FI" w:eastAsia="fi-FI"/>
              </w:rPr>
            </w:pPr>
          </w:p>
          <w:p w:rsidR="00295940" w:rsidRPr="00E07BD9" w14:paraId="02004EC1" w14:textId="540FBEE3">
            <w:pPr>
              <w:pStyle w:val="Bodytext2"/>
              <w:rPr>
                <w:lang w:val="fi-FI"/>
              </w:rPr>
            </w:pPr>
            <w:r w:rsidRPr="00E07BD9">
              <w:rPr>
                <w:lang w:val="fi-FI"/>
              </w:rPr>
              <w:t xml:space="preserve">Projekteja on sekä lyhyt- että pitkäaikaisia. Sopimusehdoista ja sopimuksen kestosta riippuen tuloutus tapahtuu joko </w:t>
            </w:r>
            <w:r w:rsidRPr="00E07BD9">
              <w:rPr>
                <w:lang w:val="fi-FI"/>
              </w:rPr>
              <w:t>ajan kuluessa tai yhtenä ajankohtana. Laajamittaisissa, insinööritekniikkaa vaativissa järjestelmä- tai laitetoimituksissa, kuten voimaloissa ja kaasuratkaisu</w:t>
            </w:r>
            <w:r w:rsidRPr="00E07BD9" w:rsidR="00B86500">
              <w:rPr>
                <w:lang w:val="fi-FI"/>
              </w:rPr>
              <w:t xml:space="preserve">jen toimitussopimuksissa, tuloutus tapahtuu ajan kuluessa, koska konsernilla ei ole siihen asti tuotetulle omaisuuserälle vaihtoehtoista käyttöä ja konsernilla on oikeus saada siitä maksu. </w:t>
            </w:r>
            <w:r w:rsidRPr="00E07BD9">
              <w:rPr>
                <w:lang w:val="fi-FI"/>
              </w:rPr>
              <w:t>Näihin liittyvät</w:t>
            </w:r>
            <w:r w:rsidRPr="00E07BD9" w:rsidR="00B86500">
              <w:rPr>
                <w:lang w:val="fi-FI"/>
              </w:rPr>
              <w:t xml:space="preserve"> sopimukset sisältävät yleensä yhden suoritevelvoitteen. </w:t>
            </w:r>
            <w:r w:rsidRPr="00E07BD9" w:rsidR="00305AFC">
              <w:rPr>
                <w:lang w:val="fi-FI"/>
              </w:rPr>
              <w:t xml:space="preserve">Räätälöidyt laitetoimitusprojektit tuloutetaan yhtenä ajankohtana kun määräysvalta siirtyy asiakkaalle, yleensä toimituksen yhteydessä. </w:t>
            </w:r>
            <w:r w:rsidRPr="00E07BD9">
              <w:rPr>
                <w:lang w:val="fi-FI"/>
              </w:rPr>
              <w:t>Näihin liittyvät</w:t>
            </w:r>
            <w:r w:rsidRPr="00E07BD9" w:rsidR="00305AFC">
              <w:rPr>
                <w:lang w:val="fi-FI"/>
              </w:rPr>
              <w:t xml:space="preserve"> sopimukset sisältävät tavallisesti yhden suoritevelvoitteen, mutt</w:t>
            </w:r>
            <w:r w:rsidRPr="00E07BD9" w:rsidR="00FD34A4">
              <w:rPr>
                <w:lang w:val="fi-FI"/>
              </w:rPr>
              <w:t>a tietyissä tilanteissa, jos sopimus sisältää useita toimituksia, niitä voidaan pitää erillisinä suoritevelvoitteina.</w:t>
            </w:r>
            <w:r w:rsidRPr="00E07BD9" w:rsidR="00305AFC">
              <w:rPr>
                <w:lang w:val="fi-FI"/>
              </w:rPr>
              <w:t xml:space="preserve"> </w:t>
            </w:r>
            <w:r w:rsidRPr="00E07BD9" w:rsidR="00FD34A4">
              <w:rPr>
                <w:lang w:val="fi-FI"/>
              </w:rPr>
              <w:t>Palvelutoimintaan liittyvistä projekteista</w:t>
            </w:r>
            <w:r w:rsidRPr="00E07BD9">
              <w:rPr>
                <w:lang w:val="fi-FI"/>
              </w:rPr>
              <w:t>, kuten modernisointi- ja parannusprojekteista, myyntituotot kirjataan ajan kuluessa, koska asiakaalla yleensä on määräysvalta paranneltavaan omaisuuserään. Näihin liittyvät sopimukset sisältävät yleensä yhden suoritevelvoitte</w:t>
            </w:r>
            <w:r w:rsidRPr="00E07BD9">
              <w:rPr>
                <w:lang w:val="fi-FI"/>
              </w:rPr>
              <w:t>en.</w:t>
            </w:r>
          </w:p>
          <w:p w:rsidR="00295940" w:rsidRPr="00E07BD9" w14:paraId="119C6EF4" w14:textId="77777777">
            <w:pPr>
              <w:pStyle w:val="Bodytext2"/>
              <w:rPr>
                <w:lang w:val="fi-FI"/>
              </w:rPr>
            </w:pPr>
          </w:p>
          <w:p w:rsidR="005E2470" w:rsidRPr="00E07BD9" w14:paraId="189C0EF1" w14:textId="7E557908">
            <w:pPr>
              <w:pStyle w:val="Bodytext2"/>
              <w:rPr>
                <w:lang w:val="fi-FI"/>
              </w:rPr>
            </w:pPr>
            <w:r w:rsidRPr="00E07BD9">
              <w:rPr>
                <w:lang w:val="fi-FI"/>
              </w:rPr>
              <w:t xml:space="preserve">Pitkäaikaiset sopimukset </w:t>
            </w:r>
            <w:r w:rsidRPr="00E07BD9" w:rsidR="00F31301">
              <w:rPr>
                <w:lang w:val="fi-FI"/>
              </w:rPr>
              <w:t xml:space="preserve">sisältävät pitkäaikaiset käyttö- ja huoltosopimukset, jotka tuloutetaan ajan kuluessa, koska asiakas samanaikaisesti saa ja kuluttaa saamaansa palvelua. Näihin liittyvät sopimukset sisältävät yleensä yhden suoritevelvoitteen per </w:t>
            </w:r>
            <w:r w:rsidRPr="00E07BD9">
              <w:rPr>
                <w:lang w:val="fi-FI"/>
              </w:rPr>
              <w:t>installaatio</w:t>
            </w:r>
            <w:r w:rsidRPr="00E07BD9" w:rsidR="00F31301">
              <w:rPr>
                <w:lang w:val="fi-FI"/>
              </w:rPr>
              <w:t>.</w:t>
            </w:r>
          </w:p>
          <w:p w:rsidR="00164D7D" w:rsidRPr="00F31301" w14:paraId="2F234184" w14:textId="77777777">
            <w:pPr>
              <w:pStyle w:val="Bodytext2"/>
              <w:rPr>
                <w:lang w:val="fi-FI"/>
              </w:rPr>
            </w:pPr>
          </w:p>
          <w:p w:rsidR="0087536A" w:rsidRPr="0087536A" w14:paraId="6A24F500" w14:textId="18DB7AD2">
            <w:pPr>
              <w:pStyle w:val="Bodytext2"/>
              <w:rPr>
                <w:rFonts w:eastAsiaTheme="minorEastAsia"/>
                <w:lang w:val="fi-FI" w:eastAsia="fi-FI"/>
              </w:rPr>
            </w:pPr>
            <w:r w:rsidRPr="0087536A">
              <w:rPr>
                <w:rFonts w:eastAsiaTheme="minorEastAsia"/>
                <w:lang w:val="fi-FI" w:eastAsia="fi-FI"/>
              </w:rPr>
              <w:t xml:space="preserve">Asiakassopimukset sisältävät usein Wärtsilän </w:t>
            </w:r>
            <w:r>
              <w:rPr>
                <w:rFonts w:eastAsiaTheme="minorEastAsia"/>
                <w:lang w:val="fi-FI" w:eastAsia="fi-FI"/>
              </w:rPr>
              <w:t>y</w:t>
            </w:r>
            <w:r w:rsidRPr="0087536A">
              <w:rPr>
                <w:rFonts w:eastAsiaTheme="minorEastAsia"/>
                <w:lang w:val="fi-FI" w:eastAsia="fi-FI"/>
              </w:rPr>
              <w:t>leisten ehtojen mukaisia takuita, joita pidetään osana asiakkaalle annettua lupausta. Laajat takuut tai takuut, jotka asiakas on vapaaehtoisesti ostanut, on ilmoitettu erillisinä suorit</w:t>
            </w:r>
            <w:r>
              <w:rPr>
                <w:rFonts w:eastAsiaTheme="minorEastAsia"/>
                <w:lang w:val="fi-FI" w:eastAsia="fi-FI"/>
              </w:rPr>
              <w:t>e</w:t>
            </w:r>
            <w:r w:rsidRPr="0087536A">
              <w:rPr>
                <w:rFonts w:eastAsiaTheme="minorEastAsia"/>
                <w:lang w:val="fi-FI" w:eastAsia="fi-FI"/>
              </w:rPr>
              <w:t>velvoi</w:t>
            </w:r>
            <w:r w:rsidRPr="0087536A">
              <w:rPr>
                <w:rFonts w:eastAsiaTheme="minorEastAsia"/>
                <w:lang w:val="fi-FI" w:eastAsia="fi-FI"/>
              </w:rPr>
              <w:t>tteina</w:t>
            </w:r>
            <w:r>
              <w:rPr>
                <w:rFonts w:eastAsiaTheme="minorEastAsia"/>
                <w:lang w:val="fi-FI" w:eastAsia="fi-FI"/>
              </w:rPr>
              <w:t xml:space="preserve"> ja ne tuloutetaan tasaisesti takuuajan aikana.</w:t>
            </w:r>
          </w:p>
          <w:p w:rsidR="0087536A" w:rsidRPr="0087536A" w14:paraId="7259EAF1" w14:textId="77777777">
            <w:pPr>
              <w:pStyle w:val="Bodytext2"/>
              <w:rPr>
                <w:rFonts w:eastAsiaTheme="minorEastAsia"/>
                <w:lang w:val="fi-FI" w:eastAsia="fi-FI"/>
              </w:rPr>
            </w:pPr>
          </w:p>
          <w:p w:rsidR="0087536A" w:rsidRPr="0087536A" w:rsidP="0087536A" w14:paraId="676E8A09" w14:textId="09FFE826">
            <w:pPr>
              <w:pStyle w:val="Bodytext2"/>
              <w:rPr>
                <w:lang w:val="fi-FI"/>
              </w:rPr>
            </w:pPr>
            <w:r w:rsidRPr="0087536A">
              <w:rPr>
                <w:lang w:val="fi-FI"/>
              </w:rPr>
              <w:t>Ajan kuluessa kirjattavat tuotot arvostetaan panokseen perustuvalla menetelmällä (syntyneiden menojen perusteella arvioitu edistyminen), kun sopimuksen lopputulos voidaan luotettavasti arvioida. Kun lo</w:t>
            </w:r>
            <w:r w:rsidRPr="0087536A">
              <w:rPr>
                <w:lang w:val="fi-FI"/>
              </w:rPr>
              <w:t xml:space="preserve">pputulosta ei pystytä luotettavasti määrittämään, aiheutuneet kulut rasittavat sen </w:t>
            </w:r>
            <w:r>
              <w:rPr>
                <w:lang w:val="fi-FI"/>
              </w:rPr>
              <w:t>raportointi</w:t>
            </w:r>
            <w:r w:rsidRPr="0087536A">
              <w:rPr>
                <w:lang w:val="fi-FI"/>
              </w:rPr>
              <w:t>kauden tulosta, jolloin ne syntyvät, mutta tulot kirjataan vain siltä osin kuin yhtiö saa todellisten kustannusten määrää vastaavia tuloja. Kaikki tappiot kirjata</w:t>
            </w:r>
            <w:r w:rsidRPr="0087536A">
              <w:rPr>
                <w:lang w:val="fi-FI"/>
              </w:rPr>
              <w:t xml:space="preserve">an kuluiksi välittömästi. Jos tavaroiden ja palveluiden tuotot kirjataan tiettynä </w:t>
            </w:r>
            <w:r>
              <w:rPr>
                <w:lang w:val="fi-FI"/>
              </w:rPr>
              <w:t>ajankohtana</w:t>
            </w:r>
            <w:r w:rsidRPr="0087536A">
              <w:rPr>
                <w:lang w:val="fi-FI"/>
              </w:rPr>
              <w:t xml:space="preserve">, tämä hetki määräytyy sen mukaan, milloin hallinta luovutetaan asiakkaalle. Hallinnan luovutus perustuu pääasiassa riskien ja </w:t>
            </w:r>
            <w:r>
              <w:rPr>
                <w:lang w:val="fi-FI"/>
              </w:rPr>
              <w:t>etujen</w:t>
            </w:r>
            <w:r w:rsidRPr="0087536A">
              <w:rPr>
                <w:lang w:val="fi-FI"/>
              </w:rPr>
              <w:t xml:space="preserve"> siirtymiseen toimitusehdon mu</w:t>
            </w:r>
            <w:r w:rsidRPr="0087536A">
              <w:rPr>
                <w:lang w:val="fi-FI"/>
              </w:rPr>
              <w:t>kaisesti.</w:t>
            </w:r>
          </w:p>
          <w:p w:rsidR="0087536A" w:rsidRPr="0087536A" w:rsidP="0087536A" w14:paraId="66931F39" w14:textId="77777777">
            <w:pPr>
              <w:pStyle w:val="Bodytext2"/>
              <w:rPr>
                <w:rFonts w:eastAsiaTheme="minorEastAsia"/>
                <w:lang w:val="fi-FI" w:eastAsia="fi-FI"/>
              </w:rPr>
            </w:pPr>
          </w:p>
          <w:p w:rsidR="0087536A" w:rsidRPr="0087536A" w:rsidP="0087536A" w14:paraId="04AB79CD" w14:textId="4D8E4EB6">
            <w:pPr>
              <w:pStyle w:val="Bodytext2"/>
              <w:rPr>
                <w:rFonts w:eastAsiaTheme="minorEastAsia"/>
                <w:lang w:val="fi-FI" w:eastAsia="fi-FI"/>
              </w:rPr>
            </w:pPr>
            <w:r w:rsidRPr="0087536A">
              <w:rPr>
                <w:rFonts w:eastAsiaTheme="minorEastAsia"/>
                <w:lang w:val="fi-FI" w:eastAsia="fi-FI"/>
              </w:rPr>
              <w:t>Jos saman asiakkaan kanssa on lyhyen aikavälin kuluessa solmittu useita sopimuksia, arvioidaan sopimuksia yhdessä.</w:t>
            </w:r>
          </w:p>
          <w:p w:rsidR="0087536A" w:rsidRPr="0087536A" w:rsidP="0087536A" w14:paraId="25A450B3" w14:textId="77777777">
            <w:pPr>
              <w:pStyle w:val="Bodytext2"/>
              <w:rPr>
                <w:rFonts w:eastAsiaTheme="minorEastAsia"/>
                <w:lang w:val="fi-FI" w:eastAsia="fi-FI"/>
              </w:rPr>
            </w:pPr>
          </w:p>
          <w:p w:rsidR="0087536A" w:rsidP="0087536A" w14:paraId="416C6FDC" w14:textId="506FECB0">
            <w:pPr>
              <w:pStyle w:val="Bodytext2"/>
              <w:rPr>
                <w:rFonts w:eastAsiaTheme="minorEastAsia"/>
                <w:lang w:val="fi-FI" w:eastAsia="fi-FI"/>
              </w:rPr>
            </w:pPr>
            <w:r w:rsidRPr="0087536A">
              <w:rPr>
                <w:rFonts w:eastAsiaTheme="minorEastAsia"/>
                <w:lang w:val="fi-FI" w:eastAsia="fi-FI"/>
              </w:rPr>
              <w:t xml:space="preserve">Konserni soveltaa asiakassopimuksiin liittyvien merkittävien rahoituskomponenttien osalta IFRS 15.63:n mukaista käytännön </w:t>
            </w:r>
            <w:r>
              <w:rPr>
                <w:rFonts w:eastAsiaTheme="minorEastAsia"/>
                <w:lang w:val="fi-FI" w:eastAsia="fi-FI"/>
              </w:rPr>
              <w:t>apukein</w:t>
            </w:r>
            <w:r>
              <w:rPr>
                <w:rFonts w:eastAsiaTheme="minorEastAsia"/>
                <w:lang w:val="fi-FI" w:eastAsia="fi-FI"/>
              </w:rPr>
              <w:t>oa</w:t>
            </w:r>
            <w:r w:rsidRPr="0087536A">
              <w:rPr>
                <w:rFonts w:eastAsiaTheme="minorEastAsia"/>
                <w:lang w:val="fi-FI" w:eastAsia="fi-FI"/>
              </w:rPr>
              <w:t>. Jos sopimuksessa sovittujen maksujen ja asiakkaalle luvattujen tavaroiden tai palvelun luovutuksen välinen aika on korkeintaan yksi vuosi, mahdollisen merkittävän rahoituskomponentin osalta ei tehdä oikaisua.</w:t>
            </w:r>
          </w:p>
          <w:p w:rsidR="0087536A" w:rsidRPr="0087536A" w:rsidP="0087536A" w14:paraId="658C2C59" w14:textId="77777777">
            <w:pPr>
              <w:pStyle w:val="Bodytext2"/>
              <w:rPr>
                <w:rFonts w:eastAsiaTheme="minorEastAsia"/>
                <w:lang w:val="fi-FI" w:eastAsia="fi-FI"/>
              </w:rPr>
            </w:pPr>
          </w:p>
          <w:p w:rsidR="0087536A" w:rsidRPr="0087536A" w:rsidP="0087536A" w14:paraId="5D95D10D" w14:textId="1F47F4BE">
            <w:pPr>
              <w:pStyle w:val="Bodytext2"/>
              <w:rPr>
                <w:rFonts w:eastAsiaTheme="minorEastAsia"/>
                <w:lang w:val="fi-FI" w:eastAsia="fi-FI"/>
              </w:rPr>
            </w:pPr>
            <w:r w:rsidRPr="0087536A">
              <w:rPr>
                <w:rFonts w:eastAsiaTheme="minorEastAsia"/>
                <w:lang w:val="fi-FI" w:eastAsia="fi-FI"/>
              </w:rPr>
              <w:t xml:space="preserve">Konserni soveltaa myös IFRS 15.94:ssä esitettyä käytännön </w:t>
            </w:r>
            <w:r>
              <w:rPr>
                <w:rFonts w:eastAsiaTheme="minorEastAsia"/>
                <w:lang w:val="fi-FI" w:eastAsia="fi-FI"/>
              </w:rPr>
              <w:t>apukeinoa</w:t>
            </w:r>
            <w:r w:rsidRPr="0087536A">
              <w:rPr>
                <w:rFonts w:eastAsiaTheme="minorEastAsia"/>
                <w:lang w:val="fi-FI" w:eastAsia="fi-FI"/>
              </w:rPr>
              <w:t xml:space="preserve">, jonka mukaan yritys voi kirjata kuluiksi sopimuksen hankkimisesta syntyvät lisäkustannukset, jos </w:t>
            </w:r>
            <w:r>
              <w:rPr>
                <w:rFonts w:eastAsiaTheme="minorEastAsia"/>
                <w:lang w:val="fi-FI" w:eastAsia="fi-FI"/>
              </w:rPr>
              <w:t xml:space="preserve">kirjattavan </w:t>
            </w:r>
            <w:r w:rsidRPr="0087536A">
              <w:rPr>
                <w:rFonts w:eastAsiaTheme="minorEastAsia"/>
                <w:lang w:val="fi-FI" w:eastAsia="fi-FI"/>
              </w:rPr>
              <w:t>omaisuuserän poistoaika</w:t>
            </w:r>
            <w:r>
              <w:rPr>
                <w:rFonts w:eastAsiaTheme="minorEastAsia"/>
                <w:lang w:val="fi-FI" w:eastAsia="fi-FI"/>
              </w:rPr>
              <w:t xml:space="preserve"> olisi </w:t>
            </w:r>
            <w:r w:rsidRPr="0087536A">
              <w:rPr>
                <w:rFonts w:eastAsiaTheme="minorEastAsia"/>
                <w:lang w:val="fi-FI" w:eastAsia="fi-FI"/>
              </w:rPr>
              <w:t xml:space="preserve">korkeintaan yksi vuosi. Wärtsilälle ei ole syntynyt mitään sellaisia sopimuksen hankkimiseen liittyviä kuluja, jotka olisi kirjattava </w:t>
            </w:r>
            <w:r>
              <w:rPr>
                <w:rFonts w:eastAsiaTheme="minorEastAsia"/>
                <w:lang w:val="fi-FI" w:eastAsia="fi-FI"/>
              </w:rPr>
              <w:t>oma</w:t>
            </w:r>
            <w:r w:rsidRPr="0087536A">
              <w:rPr>
                <w:rFonts w:eastAsiaTheme="minorEastAsia"/>
                <w:lang w:val="fi-FI" w:eastAsia="fi-FI"/>
              </w:rPr>
              <w:t>isuuseräksi.</w:t>
            </w:r>
          </w:p>
          <w:p w:rsidR="0087536A" w:rsidRPr="00252075" w14:paraId="6F60DA4A" w14:textId="77777777">
            <w:pPr>
              <w:pStyle w:val="Bodytext2"/>
              <w:rPr>
                <w:rFonts w:eastAsiaTheme="minorEastAsia"/>
                <w:lang w:val="fi-FI" w:eastAsia="fi-FI"/>
              </w:rPr>
            </w:pPr>
          </w:p>
          <w:p w:rsidR="0087536A" w:rsidRPr="00295940" w14:paraId="71A34C14" w14:textId="2EDF4ED4">
            <w:pPr>
              <w:pStyle w:val="Heading13"/>
              <w:rPr>
                <w:rFonts w:eastAsiaTheme="minorEastAsia" w:cstheme="minorHAnsi"/>
                <w:highlight w:val="yellow"/>
                <w:lang w:val="fi-FI" w:eastAsia="fi-FI"/>
              </w:rPr>
            </w:pPr>
            <w:r w:rsidRPr="00295940">
              <w:rPr>
                <w:lang w:val="fi-FI"/>
              </w:rPr>
              <w:t>Kirjanpidolliset arviot ja harkinnat</w:t>
            </w:r>
          </w:p>
          <w:p w:rsidR="0087536A" w:rsidRPr="00E07BD9" w14:paraId="4C6B98B8" w14:textId="7ADB89E6">
            <w:pPr>
              <w:pStyle w:val="Bodytext2"/>
              <w:rPr>
                <w:lang w:val="fi-FI"/>
              </w:rPr>
            </w:pPr>
            <w:r w:rsidRPr="00E07BD9">
              <w:rPr>
                <w:lang w:val="fi-FI"/>
              </w:rPr>
              <w:t>Myyntituotot tietyistä projekteista ja pitkäaikaisista</w:t>
            </w:r>
            <w:r w:rsidRPr="00E07BD9">
              <w:rPr>
                <w:lang w:val="fi-FI"/>
              </w:rPr>
              <w:t xml:space="preserve"> sopimuksista kirjataan ajan kuluessa</w:t>
            </w:r>
            <w:r w:rsidRPr="00E07BD9" w:rsidR="00096407">
              <w:rPr>
                <w:lang w:val="fi-FI"/>
              </w:rPr>
              <w:t xml:space="preserve"> panokseen perustuvalla menetelmällä, kun tulos pystytään luotettavasti määrittämään.</w:t>
            </w:r>
            <w:r w:rsidRPr="00E07BD9">
              <w:rPr>
                <w:lang w:val="fi-FI"/>
              </w:rPr>
              <w:t xml:space="preserve"> </w:t>
            </w:r>
            <w:r w:rsidRPr="00E07BD9" w:rsidR="00096407">
              <w:rPr>
                <w:lang w:val="fi-FI"/>
              </w:rPr>
              <w:t xml:space="preserve">Edistyminen ja kannattavuus perustuvat johdon arvioihin, jotka edellyttävät merkittävää harkintaa valmiusasteesta, kokonaiskustannuksista ja hankkeen valmistumisajankohdasta. Näitä arvioita tarkistetaan säännöllisesti. Kirjattuja myyntituottoja ja kustannuksia oikaistaan projektin aikana, kun oletuksia koko projektin lopputulemasta päivitetään. Muutokset oletuksissa </w:t>
            </w:r>
            <w:r w:rsidRPr="00E07BD9" w:rsidR="00B4472F">
              <w:rPr>
                <w:lang w:val="fi-FI"/>
              </w:rPr>
              <w:t>johtuvat</w:t>
            </w:r>
            <w:r w:rsidRPr="00E07BD9" w:rsidR="00096407">
              <w:rPr>
                <w:lang w:val="fi-FI"/>
              </w:rPr>
              <w:t xml:space="preserve"> ensisijaisesti projektin tai sopimuksen aikataulujen, toimitusten laajuuden, teknologian, kustannusten sekä mahdollisten muiden tekijöiden muutoksi</w:t>
            </w:r>
            <w:r w:rsidRPr="00E07BD9" w:rsidR="00B4472F">
              <w:rPr>
                <w:lang w:val="fi-FI"/>
              </w:rPr>
              <w:t>sta</w:t>
            </w:r>
            <w:r w:rsidRPr="00E07BD9" w:rsidR="00096407">
              <w:rPr>
                <w:lang w:val="fi-FI"/>
              </w:rPr>
              <w:t>.</w:t>
            </w:r>
          </w:p>
          <w:p w:rsidR="00B4472F" w:rsidRPr="00E07BD9" w14:paraId="534627DA" w14:textId="4573B43B">
            <w:pPr>
              <w:pStyle w:val="Bodytext2"/>
              <w:rPr>
                <w:lang w:val="fi-FI"/>
              </w:rPr>
            </w:pPr>
          </w:p>
          <w:p w:rsidR="00B4472F" w:rsidRPr="00E07BD9" w14:paraId="02D613B4" w14:textId="55FE5CAE">
            <w:pPr>
              <w:pStyle w:val="Bodytext2"/>
              <w:rPr>
                <w:lang w:val="fi-FI"/>
              </w:rPr>
            </w:pPr>
            <w:r w:rsidRPr="00E07BD9">
              <w:rPr>
                <w:lang w:val="fi-FI"/>
              </w:rPr>
              <w:t>Sopimuksiin sisältyvien erotettavissa olevien tavaroiden ja palveluiden yksilöinti erillisiksi suoritevelvoitteiks</w:t>
            </w:r>
            <w:r w:rsidRPr="00E07BD9">
              <w:rPr>
                <w:lang w:val="fi-FI"/>
              </w:rPr>
              <w:t>i edellyttää harkintaa, millä voi olla vaikutusta tuottojen kirjaamisen ajankohtaan ja määrään.</w:t>
            </w:r>
          </w:p>
          <w:p w:rsidR="0087536A" w:rsidRPr="00B4472F" w14:paraId="517F3483" w14:textId="77777777">
            <w:pPr>
              <w:pStyle w:val="Bodytext2"/>
              <w:rPr>
                <w:rFonts w:eastAsiaTheme="minorEastAsia"/>
                <w:highlight w:val="yellow"/>
                <w:lang w:val="fi-FI" w:eastAsia="fi-FI"/>
              </w:rPr>
            </w:pPr>
          </w:p>
          <w:p w:rsidR="0087536A" w:rsidRPr="00E07BD9" w14:paraId="7ADA2BD8" w14:textId="56540C9C">
            <w:pPr>
              <w:pStyle w:val="Bodytext2"/>
              <w:rPr>
                <w:lang w:val="fi-FI"/>
              </w:rPr>
            </w:pPr>
            <w:r w:rsidRPr="00E07BD9">
              <w:rPr>
                <w:lang w:val="fi-FI"/>
              </w:rPr>
              <w:t>Projektisopimuksiin liittyy yleensä erilaisia harkinnanvaraisia elementtejä. Johto arvioi uudelleen kunakin raportointikauden päättymispäivänä transaktion hinn</w:t>
            </w:r>
            <w:r w:rsidRPr="00E07BD9">
              <w:rPr>
                <w:lang w:val="fi-FI"/>
              </w:rPr>
              <w:t xml:space="preserve">an, mikä edellyttää merkittävää harkintaa, koska tämä </w:t>
            </w:r>
            <w:r w:rsidRPr="00E07BD9">
              <w:rPr>
                <w:lang w:val="fi-FI"/>
              </w:rPr>
              <w:t>vaikuttaa tuoton kirjaamisajankohtaan. Myös saamisten arvostamiseen liittyy arvioita, jotka liittyvät lähinnä saamisten todennäköisyyteen.</w:t>
            </w:r>
          </w:p>
          <w:p w:rsidR="00B4472F" w:rsidRPr="00E07BD9" w14:paraId="72F91221" w14:textId="77777777">
            <w:pPr>
              <w:pStyle w:val="Bodytext2"/>
              <w:rPr>
                <w:rFonts w:eastAsiaTheme="minorEastAsia"/>
                <w:lang w:val="fi-FI" w:eastAsia="fi-FI"/>
              </w:rPr>
            </w:pPr>
          </w:p>
          <w:p w:rsidR="00B4472F" w:rsidRPr="00E07BD9" w:rsidP="00B4472F" w14:paraId="01B6BBAB" w14:textId="0DE2D744">
            <w:pPr>
              <w:pStyle w:val="Bodytext2"/>
              <w:rPr>
                <w:rFonts w:eastAsiaTheme="minorEastAsia"/>
                <w:lang w:val="fi-FI" w:eastAsia="fi-FI"/>
              </w:rPr>
            </w:pPr>
            <w:r w:rsidRPr="00E07BD9">
              <w:rPr>
                <w:rFonts w:eastAsiaTheme="minorEastAsia"/>
                <w:lang w:val="fi-FI" w:eastAsia="fi-FI"/>
              </w:rPr>
              <w:t xml:space="preserve">Jos erilliset sopimukset saman asiakkaan kanssa on neuvoteltu </w:t>
            </w:r>
            <w:r w:rsidRPr="00E07BD9">
              <w:rPr>
                <w:rFonts w:eastAsiaTheme="minorEastAsia"/>
                <w:lang w:val="fi-FI" w:eastAsia="fi-FI"/>
              </w:rPr>
              <w:t>yhdessä tai ne liittyvät jollain muulla tavoin toisiinsa, ne pitää käsitellä yhtenä sopimuksena. Tämän määrittely edellyttää harkintaa. Tuoton kirjaamisen ajankohta ja määrä voivat vaihdella riippuen siitä, käsitelläänkö erillisiä sopimuksia useana vai yht</w:t>
            </w:r>
            <w:r w:rsidRPr="00E07BD9">
              <w:rPr>
                <w:rFonts w:eastAsiaTheme="minorEastAsia"/>
                <w:lang w:val="fi-FI" w:eastAsia="fi-FI"/>
              </w:rPr>
              <w:t>enä sopimuksena.</w:t>
            </w:r>
          </w:p>
          <w:p w:rsidR="00B4472F" w:rsidRPr="00E07BD9" w:rsidP="00B4472F" w14:paraId="5A4A3B67" w14:textId="77777777">
            <w:pPr>
              <w:pStyle w:val="Bodytext2"/>
              <w:rPr>
                <w:rFonts w:eastAsiaTheme="minorEastAsia"/>
                <w:lang w:val="fi-FI" w:eastAsia="fi-FI"/>
              </w:rPr>
            </w:pPr>
          </w:p>
          <w:p w:rsidR="00B4472F" w:rsidRPr="00B4472F" w:rsidP="00B4472F" w14:paraId="767A59E5" w14:textId="372435F9">
            <w:pPr>
              <w:pStyle w:val="Bodytext2"/>
              <w:rPr>
                <w:rFonts w:eastAsiaTheme="minorEastAsia"/>
                <w:lang w:val="fi-FI" w:eastAsia="fi-FI"/>
              </w:rPr>
            </w:pPr>
            <w:r w:rsidRPr="00E07BD9">
              <w:rPr>
                <w:rFonts w:eastAsiaTheme="minorEastAsia"/>
                <w:lang w:val="fi-FI" w:eastAsia="fi-FI"/>
              </w:rPr>
              <w:t xml:space="preserve">Takuuvaraus kirjataan myyntituoton tuloutuksen yhteydessä. Varaus perustuu kokemusperäiseen tietoon tulevien ja nykyisten </w:t>
            </w:r>
            <w:r>
              <w:rPr>
                <w:rFonts w:eastAsiaTheme="minorEastAsia"/>
                <w:lang w:val="fi-FI" w:eastAsia="fi-FI"/>
              </w:rPr>
              <w:t>vaateide</w:t>
            </w:r>
            <w:r w:rsidRPr="00E07BD9">
              <w:rPr>
                <w:rFonts w:eastAsiaTheme="minorEastAsia"/>
                <w:lang w:val="fi-FI" w:eastAsia="fi-FI"/>
              </w:rPr>
              <w:t>n hoitamiseen tarvittavan takuuv</w:t>
            </w:r>
            <w:r w:rsidRPr="00E07BD9">
              <w:rPr>
                <w:rFonts w:eastAsiaTheme="minorEastAsia"/>
                <w:lang w:val="fi-FI" w:eastAsia="fi-FI"/>
              </w:rPr>
              <w:t>arauksen tasosta. Tuotteisiin voi sisältyä uutta, monimutkaist</w:t>
            </w:r>
            <w:r w:rsidRPr="00E07BD9">
              <w:rPr>
                <w:rFonts w:eastAsiaTheme="minorEastAsia"/>
                <w:lang w:val="fi-FI" w:eastAsia="fi-FI"/>
              </w:rPr>
              <w:t>a teknologiaa, mikä osaltaan vaikuttaa kyseisiin arvioihin ja voi johtaa siihen, etteivät aiemmin tehdyt varaukset aina ole riittäviä.</w:t>
            </w:r>
          </w:p>
        </w:tc>
      </w:tr>
    </w:tbl>
    <w:p w:rsidR="0087536A" w:rsidRPr="00B4472F" w:rsidP="0087536A" w14:paraId="3F82202F" w14:textId="77777777">
      <w:pPr>
        <w:pStyle w:val="Bodytext2"/>
        <w:rPr>
          <w:lang w:val="fi-FI"/>
        </w:rPr>
      </w:pPr>
    </w:p>
    <w:p w:rsidR="0087536A" w:rsidRPr="0035563C" w:rsidP="0087536A" w14:paraId="7E198030" w14:textId="6DED68AD">
      <w:pPr>
        <w:pStyle w:val="Heading13"/>
        <w:rPr>
          <w:lang w:val="fi-FI"/>
        </w:rPr>
      </w:pPr>
      <w:r w:rsidRPr="0035563C">
        <w:rPr>
          <w:lang w:val="fi-FI"/>
        </w:rPr>
        <w:t>Liikevaihto tulotyypeittäin</w:t>
      </w:r>
    </w:p>
    <w:p w:rsidR="0087536A" w:rsidRPr="0035563C" w:rsidP="0087536A" w14:paraId="3357BED4" w14:textId="77777777">
      <w:pPr>
        <w:pStyle w:val="Bodytext2"/>
        <w:rPr>
          <w:lang w:val="fi-FI"/>
        </w:rPr>
      </w:pPr>
    </w:p>
    <w:tbl>
      <w:tblPr>
        <w:tblStyle w:val="TableNormal"/>
        <w:tblCaption w:val="Table_Net_sales_by_revenue_type"/>
        <w:tblDescription w:val="Net sales by revenue type"/>
        <w:tblW w:w="7350" w:type="dxa"/>
        <w:tblLayout w:type="fixed"/>
        <w:tblLook w:val="0600"/>
      </w:tblPr>
      <w:tblGrid>
        <w:gridCol w:w="4860"/>
        <w:gridCol w:w="1245"/>
        <w:gridCol w:w="1245"/>
      </w:tblGrid>
      <w:tr>
        <w:tblPrEx>
          <w:tblW w:w="7350" w:type="dxa"/>
          <w:tblLayout w:type="fixed"/>
          <w:tblLook w:val="0600"/>
        </w:tblPrEx>
        <w:trPr>
          <w:trHeight w:hRule="exact" w:val="225"/>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Tuotteet</w:t>
            </w: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1 091</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1 184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Tuotteet ja palvelut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511</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Projektit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1 053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147</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2 557</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2 899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sopimukset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445</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486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4 604</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5 170</w:t>
            </w:r>
          </w:p>
        </w:tc>
      </w:tr>
    </w:tbl>
    <w:p w:rsidR="0087536A" w:rsidRPr="0035563C" w:rsidP="0087536A" w14:paraId="719CC744" w14:textId="77777777">
      <w:pPr>
        <w:pStyle w:val="Bodytext2"/>
        <w:rPr>
          <w:lang w:val="fi-FI"/>
        </w:rPr>
      </w:pPr>
    </w:p>
    <w:p w:rsidR="0087536A" w:rsidRPr="0035563C" w:rsidP="0087536A" w14:paraId="26956162" w14:textId="77777777">
      <w:pPr>
        <w:pStyle w:val="Bodytext2"/>
        <w:rPr>
          <w:lang w:val="fi-FI"/>
        </w:rPr>
      </w:pPr>
    </w:p>
    <w:p w:rsidR="0087536A" w:rsidRPr="0035563C" w:rsidP="0087536A" w14:paraId="4BC5B2CF" w14:textId="29831066">
      <w:pPr>
        <w:pStyle w:val="Heading13"/>
        <w:rPr>
          <w:lang w:val="fi-FI"/>
        </w:rPr>
      </w:pPr>
      <w:r w:rsidRPr="0035563C">
        <w:rPr>
          <w:lang w:val="fi-FI"/>
        </w:rPr>
        <w:t>Suoritevelvoitteiden täyttämisen ajankohta</w:t>
      </w:r>
    </w:p>
    <w:p w:rsidR="0087536A" w:rsidRPr="0035563C" w:rsidP="0087536A" w14:paraId="7A69909A" w14:textId="77777777">
      <w:pPr>
        <w:pStyle w:val="Bodytext2"/>
        <w:rPr>
          <w:lang w:val="fi-FI"/>
        </w:rPr>
      </w:pPr>
    </w:p>
    <w:tbl>
      <w:tblPr>
        <w:tblStyle w:val="TableNormal"/>
        <w:tblCaption w:val="Table_Timing_of_satisfying_performance_obligations"/>
        <w:tblDescription w:val="MEUR"/>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Yhtenä ajankohtana</w:t>
            </w: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1 536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1 687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1 102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3 150</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3 728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Ajan kuluessa</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676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1 455</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1 442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4 604</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5 170</w:t>
            </w:r>
          </w:p>
        </w:tc>
      </w:tr>
    </w:tbl>
    <w:p/>
    <w:p w:rsidR="00DF49A7" w:rsidRPr="00DF49A7" w:rsidP="00DF49A7" w14:paraId="6FF2BDC2" w14:textId="2062C525">
      <w:pPr>
        <w:pStyle w:val="Heading12"/>
        <w:rPr>
          <w:lang w:val="fi-FI"/>
        </w:rPr>
      </w:pPr>
      <w:bookmarkStart w:id="1123" w:name="RG_MARKER_4696"/>
      <w:r w:rsidRPr="00DF49A7">
        <w:rPr>
          <w:lang w:val="fi-FI"/>
        </w:rPr>
        <w:t>2.3. LIIKETOIMINNAN MUUT TUOTOT JA KULU</w:t>
      </w:r>
      <w:bookmarkEnd w:id="1123"/>
      <w:r>
        <w:rPr>
          <w:lang w:val="fi-FI"/>
        </w:rPr>
        <w:t>T</w:t>
      </w:r>
    </w:p>
    <w:tbl>
      <w:tblPr>
        <w:tblStyle w:val="TableGrid"/>
        <w:tblW w:w="7371" w:type="dxa"/>
        <w:tblLook w:val="04A0"/>
      </w:tblPr>
      <w:tblGrid>
        <w:gridCol w:w="7371"/>
      </w:tblGrid>
      <w:tr w14:paraId="73DC2432" w14:textId="77777777" w:rsidTr="00DF49A7">
        <w:tblPrEx>
          <w:tblW w:w="7371" w:type="dxa"/>
          <w:tblLook w:val="04A0"/>
        </w:tblPrEx>
        <w:tc>
          <w:tcPr>
            <w:tcW w:w="6683" w:type="dxa"/>
            <w:tcBorders>
              <w:top w:val="nil"/>
              <w:left w:val="nil"/>
              <w:bottom w:val="nil"/>
              <w:right w:val="nil"/>
            </w:tcBorders>
            <w:shd w:val="clear" w:color="auto" w:fill="B6C8D1"/>
          </w:tcPr>
          <w:p w:rsidR="00DF49A7" w:rsidRPr="004F323A" w14:paraId="4E66B037" w14:textId="561FC95B">
            <w:pPr>
              <w:pStyle w:val="Heading13"/>
              <w:rPr>
                <w:rFonts w:eastAsiaTheme="minorEastAsia" w:cstheme="minorHAnsi"/>
                <w:lang w:val="fi-FI" w:eastAsia="fi-FI"/>
              </w:rPr>
            </w:pPr>
            <w:bookmarkStart w:id="1124" w:name="_Hlk47444713"/>
            <w:r w:rsidRPr="004F323A">
              <w:rPr>
                <w:lang w:val="fi-FI"/>
              </w:rPr>
              <w:t>Laadintaperiaatteet</w:t>
            </w:r>
          </w:p>
          <w:p w:rsidR="00672708" w:rsidRPr="00672708" w14:paraId="74AA487E" w14:textId="3F823355">
            <w:pPr>
              <w:pStyle w:val="Bodytext2"/>
              <w:rPr>
                <w:lang w:val="fi-FI"/>
              </w:rPr>
            </w:pPr>
            <w:r w:rsidRPr="00672708">
              <w:rPr>
                <w:lang w:val="fi-FI"/>
              </w:rPr>
              <w:t>Liiketoiminnan muu</w:t>
            </w:r>
            <w:r>
              <w:rPr>
                <w:lang w:val="fi-FI"/>
              </w:rPr>
              <w:t>t</w:t>
            </w:r>
            <w:r w:rsidRPr="00672708">
              <w:rPr>
                <w:lang w:val="fi-FI"/>
              </w:rPr>
              <w:t xml:space="preserve"> tuotot</w:t>
            </w:r>
            <w:r>
              <w:rPr>
                <w:lang w:val="fi-FI"/>
              </w:rPr>
              <w:t xml:space="preserve"> ja kulut ovat tuottoja ja kuluja, jotka</w:t>
            </w:r>
            <w:r w:rsidRPr="00672708">
              <w:rPr>
                <w:lang w:val="fi-FI"/>
              </w:rPr>
              <w:t xml:space="preserve"> eivät</w:t>
            </w:r>
            <w:r>
              <w:rPr>
                <w:lang w:val="fi-FI"/>
              </w:rPr>
              <w:t xml:space="preserve"> suoraan</w:t>
            </w:r>
            <w:r w:rsidRPr="00672708">
              <w:rPr>
                <w:lang w:val="fi-FI"/>
              </w:rPr>
              <w:t xml:space="preserve"> liity</w:t>
            </w:r>
            <w:r>
              <w:rPr>
                <w:lang w:val="fi-FI"/>
              </w:rPr>
              <w:t xml:space="preserve"> konsernin</w:t>
            </w:r>
            <w:r w:rsidRPr="00672708">
              <w:rPr>
                <w:lang w:val="fi-FI"/>
              </w:rPr>
              <w:t xml:space="preserve"> operatiiviseen toimintaan.</w:t>
            </w:r>
          </w:p>
          <w:p w:rsidR="00DF49A7" w:rsidRPr="00672708" w14:paraId="4384C14E" w14:textId="77777777">
            <w:pPr>
              <w:pStyle w:val="Bodytext2"/>
              <w:rPr>
                <w:rFonts w:eastAsiaTheme="minorEastAsia"/>
                <w:lang w:val="fi-FI" w:eastAsia="fi-FI"/>
              </w:rPr>
            </w:pPr>
          </w:p>
          <w:p w:rsidR="00672708" w14:paraId="25CEAF34" w14:textId="03A9EBCE">
            <w:pPr>
              <w:pStyle w:val="Bodytext2"/>
              <w:rPr>
                <w:lang w:val="fi-FI"/>
              </w:rPr>
            </w:pPr>
            <w:r>
              <w:rPr>
                <w:lang w:val="fi-FI"/>
              </w:rPr>
              <w:t>Liiketoiminnan muut tuotot pitää sisällään esimerkiksi omaisuuserien myyntivoitot ja säännöllisiä tuottoja, kuten vuokratulot ja liiketoimintojen yhdistymisestä syntyvät tuotot, jotka eivät liity suoraan konsernin ensisijaiseen liiketoimintaan. Liiketoimin</w:t>
            </w:r>
            <w:r>
              <w:rPr>
                <w:lang w:val="fi-FI"/>
              </w:rPr>
              <w:t>nan muut tuotot sisältää myös avustukset, jotka kirjataan tuloslaskelmalle systemaattisella tavalla niille kausille, joiden aikana kuluja on syntynyt.</w:t>
            </w:r>
          </w:p>
          <w:p w:rsidR="00DF49A7" w:rsidRPr="004F323A" w14:paraId="1A3E1186" w14:textId="77777777">
            <w:pPr>
              <w:pStyle w:val="Bodytext2"/>
              <w:rPr>
                <w:rFonts w:eastAsiaTheme="minorEastAsia"/>
                <w:lang w:val="fi-FI" w:eastAsia="fi-FI"/>
              </w:rPr>
            </w:pPr>
          </w:p>
          <w:p w:rsidR="00DF49A7" w:rsidRPr="00517566" w:rsidP="00517566" w14:paraId="5A330F3B" w14:textId="139D1AF2">
            <w:pPr>
              <w:pStyle w:val="Bodytext2"/>
              <w:rPr>
                <w:lang w:val="fi-FI"/>
              </w:rPr>
            </w:pPr>
            <w:bookmarkStart w:id="1125" w:name="_Hlk47443497"/>
            <w:r w:rsidRPr="00672708">
              <w:rPr>
                <w:lang w:val="fi-FI"/>
              </w:rPr>
              <w:t>Liiketoiminnan muut kulut pitää s</w:t>
            </w:r>
            <w:r>
              <w:rPr>
                <w:lang w:val="fi-FI"/>
              </w:rPr>
              <w:t xml:space="preserve">isällään esimerkiksi </w:t>
            </w:r>
            <w:r w:rsidR="00517566">
              <w:rPr>
                <w:lang w:val="fi-FI"/>
              </w:rPr>
              <w:t xml:space="preserve">matkakulut, laki- ja konsultointikulut, vuokrakulut, vapaaehtoiset henkilöstökulut ja hallinnolliset kustannukset. </w:t>
            </w:r>
            <w:r>
              <w:rPr>
                <w:lang w:val="fi-FI"/>
              </w:rPr>
              <w:t>L</w:t>
            </w:r>
            <w:r w:rsidR="00517566">
              <w:rPr>
                <w:lang w:val="fi-FI"/>
              </w:rPr>
              <w:t>iiketoiminnan muihin kuluihin</w:t>
            </w:r>
            <w:r>
              <w:rPr>
                <w:lang w:val="fi-FI"/>
              </w:rPr>
              <w:t xml:space="preserve"> kirjataan myös</w:t>
            </w:r>
            <w:r w:rsidR="00517566">
              <w:rPr>
                <w:lang w:val="fi-FI"/>
              </w:rPr>
              <w:t xml:space="preserve"> kulut sekä lyhytaikaisista että vähäarvoisia omaisuuseriä koskevista vuokrasopimuksista. Myös omaisuuserien myyntitappiot ja vuokrasopimusten muutoksiin ja päättämisiin liittyvät kulut kirjataan liiketoiminnan muihin kuluihin.</w:t>
            </w:r>
            <w:bookmarkEnd w:id="1125"/>
            <w:bookmarkEnd w:id="1124"/>
          </w:p>
        </w:tc>
      </w:tr>
    </w:tbl>
    <w:p w:rsidR="00DF49A7" w:rsidRPr="00517566" w:rsidP="00DF49A7" w14:paraId="5F65833B" w14:textId="77777777">
      <w:pPr>
        <w:pStyle w:val="Bodytext2"/>
        <w:rPr>
          <w:lang w:val="fi-FI"/>
        </w:rPr>
      </w:pPr>
    </w:p>
    <w:p w:rsidR="00DF49A7" w:rsidRPr="00672708" w:rsidP="00DF49A7" w14:paraId="54684C05" w14:textId="3A3F0ED1">
      <w:pPr>
        <w:pStyle w:val="Heading13"/>
        <w:rPr>
          <w:lang w:val="fi-FI"/>
        </w:rPr>
      </w:pPr>
      <w:r w:rsidRPr="00672708">
        <w:rPr>
          <w:lang w:val="fi-FI"/>
        </w:rPr>
        <w:t>Liiketoiminnan muut tuotot</w:t>
      </w:r>
    </w:p>
    <w:p w:rsidR="00DF49A7" w:rsidRPr="00672708" w:rsidP="00DF49A7" w14:paraId="403930A3" w14:textId="77777777">
      <w:pPr>
        <w:pStyle w:val="Bodytext2"/>
        <w:rPr>
          <w:lang w:val="fi-FI"/>
        </w:rPr>
      </w:pPr>
    </w:p>
    <w:tbl>
      <w:tblPr>
        <w:tblStyle w:val="TableNormal"/>
        <w:tblCaption w:val="Table_Other_Operating_income"/>
        <w:tblDescription w:val="MEUR"/>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Aineettomien ja aineellisten hyödykkeiden myyntivoitot</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Julkiset avustukset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Romun myyntituotot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Sivutuotteiden myyntituotot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Vuokratulot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Tilausten peruutuksiin liittyvät tuotot*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Vakuutuskorvaukset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67</w:t>
            </w:r>
          </w:p>
        </w:tc>
      </w:tr>
    </w:tbl>
    <w:p w:rsidR="00DF49A7" w:rsidRPr="00672708" w:rsidP="00DF49A7" w14:paraId="7346FF1A" w14:textId="77777777">
      <w:pPr>
        <w:pStyle w:val="Bodytext2"/>
        <w:rPr>
          <w:lang w:val="fi-FI"/>
        </w:rPr>
      </w:pPr>
    </w:p>
    <w:p w:rsidR="00672708" w:rsidRPr="00672708" w:rsidP="00DF49A7" w14:paraId="2CBC9471" w14:textId="28C7E58D">
      <w:pPr>
        <w:pStyle w:val="Bodytext2"/>
        <w:rPr>
          <w:lang w:val="fi-FI"/>
        </w:rPr>
      </w:pPr>
      <w:r w:rsidRPr="00672708">
        <w:rPr>
          <w:lang w:val="fi-FI"/>
        </w:rPr>
        <w:t>* Tilausten peruutuksiin liittyvät kulut ovat vastaavilla kulutileillä.</w:t>
      </w:r>
    </w:p>
    <w:p w:rsidR="00DF49A7" w:rsidRPr="00672708" w:rsidP="00DF49A7" w14:paraId="5FB63274" w14:textId="08E1FEC5">
      <w:pPr>
        <w:pStyle w:val="Bodytext2"/>
        <w:rPr>
          <w:lang w:val="fi-FI"/>
        </w:rPr>
      </w:pPr>
      <w:r w:rsidRPr="00672708">
        <w:rPr>
          <w:lang w:val="fi-FI"/>
        </w:rPr>
        <w:t>** Muut ei pidä sisällään merkittäviä</w:t>
      </w:r>
      <w:r w:rsidRPr="00672708">
        <w:rPr>
          <w:lang w:val="fi-FI"/>
        </w:rPr>
        <w:t xml:space="preserve"> yksittäisiä eriä.</w:t>
      </w:r>
    </w:p>
    <w:p w:rsidR="00DF49A7" w:rsidRPr="00672708" w:rsidP="00DF49A7" w14:paraId="6BBA8599" w14:textId="77777777">
      <w:pPr>
        <w:pStyle w:val="Bodytext2"/>
        <w:rPr>
          <w:lang w:val="fi-FI"/>
        </w:rPr>
      </w:pPr>
    </w:p>
    <w:p w:rsidR="00DF49A7" w:rsidRPr="00672708" w:rsidP="00DF49A7" w14:paraId="6DA42947" w14:textId="24596269">
      <w:pPr>
        <w:pStyle w:val="Heading13"/>
        <w:rPr>
          <w:lang w:val="fi-FI"/>
        </w:rPr>
      </w:pPr>
      <w:r w:rsidRPr="00672708">
        <w:rPr>
          <w:lang w:val="fi-FI"/>
        </w:rPr>
        <w:t>Liiketoiminnan muut kulut</w:t>
      </w:r>
    </w:p>
    <w:p w:rsidR="00DF49A7" w:rsidRPr="00672708" w:rsidP="00DF49A7" w14:paraId="4DD07BCF" w14:textId="77777777">
      <w:pPr>
        <w:pStyle w:val="Bodytext2"/>
        <w:rPr>
          <w:lang w:val="fi-FI"/>
        </w:rPr>
      </w:pPr>
    </w:p>
    <w:tbl>
      <w:tblPr>
        <w:tblStyle w:val="TableNormal"/>
        <w:tblCaption w:val="table_other_operating_expenses"/>
        <w:tblDescription w:val="10. Other operating expenses"/>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Matkakulut</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75</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Vuokrakulut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Laki- ja konsultointikulut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IT-kulut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henkilöstöön liittyvät kulut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Hallinnolliset kustannukset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431</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578</w:t>
            </w:r>
          </w:p>
        </w:tc>
      </w:tr>
    </w:tbl>
    <w:p w:rsidR="00DF49A7" w:rsidRPr="00672708" w:rsidP="00DF49A7" w14:paraId="448F7334" w14:textId="77777777">
      <w:pPr>
        <w:pStyle w:val="Bodytext2"/>
        <w:rPr>
          <w:lang w:val="fi-FI"/>
        </w:rPr>
      </w:pPr>
    </w:p>
    <w:p w:rsidR="004A0DF2" w:rsidRPr="002950D0" w:rsidP="00DF49A7" w14:textId="5A736C38">
      <w:pPr>
        <w:pStyle w:val="Bodytext2"/>
        <w:rPr>
          <w:sz w:val="2"/>
          <w:szCs w:val="2"/>
          <w:lang w:val="fi-FI"/>
        </w:rPr>
      </w:pPr>
      <w:r w:rsidRPr="00672708">
        <w:rPr>
          <w:lang w:val="fi-FI"/>
        </w:rPr>
        <w:t>* Muut ei pidä sisällään merkittäviä yksittäisiä eriä.</w:t>
      </w:r>
      <w:r>
        <w:rPr>
          <w:lang w:val="fi-FI"/>
        </w:rPr>
        <w:br w:type="column"/>
      </w:r>
    </w:p>
    <w:p w:rsidR="00341A20" w:rsidP="00341A20" w14:paraId="7F255828" w14:textId="22DC61C9">
      <w:pPr>
        <w:pStyle w:val="Heading12"/>
      </w:pPr>
      <w:bookmarkStart w:id="1126" w:name="RG_MARKER_4697"/>
      <w:r>
        <w:t>2.4. MATERIAALIT JA PALVELUT</w:t>
      </w:r>
      <w:bookmarkEnd w:id="1126"/>
    </w:p>
    <w:tbl>
      <w:tblPr>
        <w:tblStyle w:val="TableGrid"/>
        <w:tblW w:w="7371" w:type="dxa"/>
        <w:tblLook w:val="04A0"/>
      </w:tblPr>
      <w:tblGrid>
        <w:gridCol w:w="7371"/>
      </w:tblGrid>
      <w:tr w14:paraId="51FCA042" w14:textId="77777777" w:rsidTr="00341A20">
        <w:tblPrEx>
          <w:tblW w:w="7371" w:type="dxa"/>
          <w:tblLook w:val="04A0"/>
        </w:tblPrEx>
        <w:tc>
          <w:tcPr>
            <w:tcW w:w="6339" w:type="dxa"/>
            <w:tcBorders>
              <w:top w:val="nil"/>
              <w:left w:val="nil"/>
              <w:bottom w:val="nil"/>
              <w:right w:val="nil"/>
            </w:tcBorders>
            <w:shd w:val="clear" w:color="auto" w:fill="B6C8D1"/>
            <w:hideMark/>
          </w:tcPr>
          <w:p w:rsidR="00341A20" w:rsidRPr="005B11DA" w14:paraId="56B3E0C7" w14:textId="193B053D">
            <w:pPr>
              <w:pStyle w:val="Heading13"/>
              <w:rPr>
                <w:rFonts w:eastAsiaTheme="minorEastAsia" w:cstheme="minorHAnsi"/>
                <w:lang w:val="fi-FI" w:eastAsia="fi-FI"/>
              </w:rPr>
            </w:pPr>
            <w:r w:rsidRPr="005B11DA">
              <w:rPr>
                <w:rFonts w:eastAsiaTheme="minorEastAsia"/>
                <w:lang w:val="fi-FI" w:eastAsia="fi-FI"/>
              </w:rPr>
              <w:t>Laadintaperiaatteet</w:t>
            </w:r>
          </w:p>
          <w:p w:rsidR="00341A20" w:rsidRPr="00C61D9E" w:rsidP="00C61D9E" w14:paraId="4DC32203" w14:textId="224BF49C">
            <w:pPr>
              <w:pStyle w:val="Bodytext2"/>
              <w:rPr>
                <w:rFonts w:eastAsiaTheme="minorEastAsia"/>
                <w:lang w:val="fi-FI" w:eastAsia="fi-FI"/>
              </w:rPr>
            </w:pPr>
            <w:r w:rsidRPr="00C61D9E">
              <w:rPr>
                <w:lang w:val="fi-FI"/>
              </w:rPr>
              <w:t xml:space="preserve">Materiaalit ja palvelut sisältävät </w:t>
            </w:r>
            <w:r>
              <w:rPr>
                <w:lang w:val="fi-FI"/>
              </w:rPr>
              <w:t xml:space="preserve">kulut </w:t>
            </w:r>
            <w:r w:rsidRPr="00C61D9E">
              <w:rPr>
                <w:lang w:val="fi-FI"/>
              </w:rPr>
              <w:t>ta</w:t>
            </w:r>
            <w:r>
              <w:rPr>
                <w:lang w:val="fi-FI"/>
              </w:rPr>
              <w:t>varantoimittajilta tuotantoa varten ostetuista tarvikkeista ja hyödykkeistä. Alennukset ja ostoihin liittyvien verojen</w:t>
            </w:r>
            <w:r>
              <w:rPr>
                <w:lang w:val="fi-FI"/>
              </w:rPr>
              <w:t xml:space="preserve"> hyvitykset on huomioitu kuluja vähentäen. </w:t>
            </w:r>
            <w:r w:rsidRPr="00C61D9E">
              <w:rPr>
                <w:lang w:val="fi-FI"/>
              </w:rPr>
              <w:t xml:space="preserve">Myös ostovelkoihin liittyvät kurssivoitot </w:t>
            </w:r>
            <w:r>
              <w:rPr>
                <w:lang w:val="fi-FI"/>
              </w:rPr>
              <w:t>ja</w:t>
            </w:r>
            <w:r w:rsidRPr="00C61D9E">
              <w:rPr>
                <w:lang w:val="fi-FI"/>
              </w:rPr>
              <w:t xml:space="preserve"> -tappiot ovat mukana materiaaleissa ja palveluissa.</w:t>
            </w:r>
          </w:p>
        </w:tc>
      </w:tr>
    </w:tbl>
    <w:p w:rsidR="00341A20" w:rsidRPr="00C61D9E" w:rsidP="00341A20" w14:paraId="639CF5A4" w14:textId="77777777">
      <w:pPr>
        <w:pStyle w:val="Bodytext2"/>
        <w:rPr>
          <w:lang w:val="fi-FI"/>
        </w:rPr>
      </w:pPr>
    </w:p>
    <w:tbl>
      <w:tblPr>
        <w:tblStyle w:val="TableNormal"/>
        <w:tblCaption w:val="Table_Material_and_services"/>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Ostot tilikauden aikana</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-1 475</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-1 723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Varastojen muutos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Ulkopuoliset palvelut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-1 026</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-1 287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-2 551</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-3 003</w:t>
            </w:r>
          </w:p>
        </w:tc>
      </w:tr>
    </w:tbl>
    <w:p/>
    <w:p w:rsidR="00141345" w:rsidP="00141345" w14:paraId="283DA9E4" w14:textId="0C18DE89">
      <w:pPr>
        <w:pStyle w:val="Heading12"/>
      </w:pPr>
      <w:bookmarkStart w:id="1127" w:name="RG_MARKER_4698"/>
      <w:r>
        <w:t>2.5. TYÖSUHDE-ETUUKSISTA AIHEUTUVAT KULUT</w:t>
      </w:r>
      <w:bookmarkEnd w:id="1127"/>
    </w:p>
    <w:tbl>
      <w:tblPr>
        <w:tblStyle w:val="TableGrid"/>
        <w:tblW w:w="7371" w:type="dxa"/>
        <w:tblLook w:val="04A0"/>
      </w:tblPr>
      <w:tblGrid>
        <w:gridCol w:w="7371"/>
      </w:tblGrid>
      <w:tr w14:paraId="24252E82" w14:textId="77777777" w:rsidTr="00141345">
        <w:tblPrEx>
          <w:tblW w:w="7371" w:type="dxa"/>
          <w:tblLook w:val="04A0"/>
        </w:tblPrEx>
        <w:tc>
          <w:tcPr>
            <w:tcW w:w="6683" w:type="dxa"/>
            <w:tcBorders>
              <w:top w:val="nil"/>
              <w:left w:val="nil"/>
              <w:bottom w:val="nil"/>
              <w:right w:val="nil"/>
            </w:tcBorders>
            <w:shd w:val="clear" w:color="auto" w:fill="B6C8D1"/>
          </w:tcPr>
          <w:p w:rsidR="00141345" w:rsidRPr="00656ADE" w14:paraId="60AB4B8B" w14:textId="4EBD7E40">
            <w:pPr>
              <w:pStyle w:val="Heading13"/>
              <w:rPr>
                <w:rFonts w:eastAsiaTheme="minorEastAsia" w:cstheme="minorHAnsi"/>
                <w:lang w:val="fi-FI" w:eastAsia="fi-FI"/>
              </w:rPr>
            </w:pPr>
            <w:r w:rsidRPr="00656ADE">
              <w:rPr>
                <w:lang w:val="fi-FI"/>
              </w:rPr>
              <w:t>Laadintaperiaatteet</w:t>
            </w:r>
          </w:p>
          <w:p w:rsidR="00141345" w:rsidRPr="00656ADE" w14:paraId="267E0AC9" w14:textId="61796B69">
            <w:pPr>
              <w:pStyle w:val="Bodytext2"/>
              <w:rPr>
                <w:rFonts w:eastAsiaTheme="minorEastAsia"/>
                <w:lang w:val="fi-FI" w:eastAsia="fi-FI"/>
              </w:rPr>
            </w:pPr>
            <w:r w:rsidRPr="00E229B4">
              <w:rPr>
                <w:lang w:val="fi-FI"/>
              </w:rPr>
              <w:t>Työsuhde-etuuksia ovat</w:t>
            </w:r>
            <w:r w:rsidR="00D55BDD">
              <w:rPr>
                <w:lang w:val="fi-FI"/>
              </w:rPr>
              <w:t xml:space="preserve"> työsuorituksista tai työsuhteen päättämisestä</w:t>
            </w:r>
            <w:r w:rsidRPr="00E229B4">
              <w:rPr>
                <w:lang w:val="fi-FI"/>
              </w:rPr>
              <w:t xml:space="preserve"> e</w:t>
            </w:r>
            <w:r>
              <w:rPr>
                <w:lang w:val="fi-FI"/>
              </w:rPr>
              <w:t xml:space="preserve">ri muodoissa </w:t>
            </w:r>
            <w:r w:rsidR="00D55BDD">
              <w:rPr>
                <w:lang w:val="fi-FI"/>
              </w:rPr>
              <w:t>maksettavat</w:t>
            </w:r>
            <w:r>
              <w:rPr>
                <w:lang w:val="fi-FI"/>
              </w:rPr>
              <w:t xml:space="preserve"> vastikkeet</w:t>
            </w:r>
            <w:r w:rsidR="00D55BDD">
              <w:rPr>
                <w:lang w:val="fi-FI"/>
              </w:rPr>
              <w:t>.</w:t>
            </w:r>
            <w:r>
              <w:rPr>
                <w:lang w:val="fi-FI"/>
              </w:rPr>
              <w:t xml:space="preserve"> </w:t>
            </w:r>
            <w:r w:rsidRPr="00656ADE" w:rsidR="00D55BDD">
              <w:rPr>
                <w:lang w:val="fi-FI"/>
              </w:rPr>
              <w:t>Konsernilla on myös osakeperusteisia maksuja sekä muita henkilöstökuluja.</w:t>
            </w:r>
          </w:p>
          <w:p w:rsidR="00141345" w:rsidRPr="00656ADE" w14:paraId="4C707B17" w14:textId="149BD0F7">
            <w:pPr>
              <w:pStyle w:val="Bodytext2"/>
              <w:rPr>
                <w:rFonts w:eastAsiaTheme="minorEastAsia"/>
                <w:lang w:val="fi-FI" w:eastAsia="fi-FI"/>
              </w:rPr>
            </w:pPr>
          </w:p>
          <w:p w:rsidR="00C81C21" w:rsidRPr="00C81C21" w14:paraId="38AC4A21" w14:textId="5119C06E">
            <w:pPr>
              <w:pStyle w:val="Bodytext2"/>
              <w:rPr>
                <w:rFonts w:eastAsiaTheme="minorEastAsia"/>
                <w:lang w:val="fi-FI" w:eastAsia="fi-FI"/>
              </w:rPr>
            </w:pPr>
            <w:r w:rsidRPr="00C81C21">
              <w:rPr>
                <w:rFonts w:eastAsiaTheme="minorEastAsia"/>
                <w:lang w:val="fi-FI" w:eastAsia="fi-FI"/>
              </w:rPr>
              <w:t xml:space="preserve">Yhtiön </w:t>
            </w:r>
            <w:r>
              <w:rPr>
                <w:rFonts w:eastAsiaTheme="minorEastAsia"/>
                <w:lang w:val="fi-FI" w:eastAsia="fi-FI"/>
              </w:rPr>
              <w:t>palkitsemisjärjestelmä</w:t>
            </w:r>
            <w:r w:rsidRPr="00C81C21">
              <w:rPr>
                <w:rFonts w:eastAsiaTheme="minorEastAsia"/>
                <w:lang w:val="fi-FI" w:eastAsia="fi-FI"/>
              </w:rPr>
              <w:t>, joka on sidottu yhtiön osakkeen arvon kehitykseen ennalta määrättynä ajanjaksona, arvostetaan raportointipäivän osakkeen käypään arvoon ja kirjataan kuluiksi tuloslaskelmaan bonusohjelman juoksuaikana. Bonu</w:t>
            </w:r>
            <w:r w:rsidRPr="00C81C21">
              <w:rPr>
                <w:rFonts w:eastAsiaTheme="minorEastAsia"/>
                <w:lang w:val="fi-FI" w:eastAsia="fi-FI"/>
              </w:rPr>
              <w:t>kselle asetetaan yläraja. Kun bonusohjelma loppuu ja työssäoloehto täyttyy, bonus maksetaan käteisenä ja/tai osakkeina.</w:t>
            </w:r>
          </w:p>
          <w:p w:rsidR="00141345" w:rsidRPr="00656ADE" w14:paraId="2E172DF8" w14:textId="55F6DDD9">
            <w:pPr>
              <w:pStyle w:val="Bodytext2"/>
              <w:rPr>
                <w:rFonts w:eastAsiaTheme="minorEastAsia"/>
                <w:lang w:val="fi-FI" w:eastAsia="fi-FI"/>
              </w:rPr>
            </w:pPr>
          </w:p>
          <w:p w:rsidR="00C81C21" w:rsidRPr="00656ADE" w14:paraId="7AA9B8FA" w14:textId="2F6D8EEC">
            <w:pPr>
              <w:pStyle w:val="Bodytext2"/>
              <w:rPr>
                <w:rFonts w:eastAsiaTheme="minorEastAsia"/>
                <w:lang w:val="fi-FI" w:eastAsia="fi-FI"/>
              </w:rPr>
            </w:pPr>
            <w:r w:rsidRPr="00C81C21">
              <w:rPr>
                <w:rFonts w:eastAsiaTheme="minorEastAsia"/>
                <w:lang w:val="fi-FI" w:eastAsia="fi-FI"/>
              </w:rPr>
              <w:t>Konserniyhtiöillä on eri maissa useita eläkejärjestelyjä</w:t>
            </w:r>
            <w:r>
              <w:rPr>
                <w:rFonts w:eastAsiaTheme="minorEastAsia"/>
                <w:lang w:val="fi-FI" w:eastAsia="fi-FI"/>
              </w:rPr>
              <w:t xml:space="preserve"> ja työsuhteen päättymisen jälkeisiä etuuksia</w:t>
            </w:r>
            <w:r w:rsidRPr="00C81C21">
              <w:rPr>
                <w:rFonts w:eastAsiaTheme="minorEastAsia"/>
                <w:lang w:val="fi-FI" w:eastAsia="fi-FI"/>
              </w:rPr>
              <w:t>, jotka perustuvat paikallisiin ol</w:t>
            </w:r>
            <w:r w:rsidRPr="00C81C21">
              <w:rPr>
                <w:rFonts w:eastAsiaTheme="minorEastAsia"/>
                <w:lang w:val="fi-FI" w:eastAsia="fi-FI"/>
              </w:rPr>
              <w:t xml:space="preserve">osuhteisiin ja käytäntöihin. </w:t>
            </w:r>
            <w:r w:rsidRPr="00656ADE">
              <w:rPr>
                <w:rFonts w:eastAsiaTheme="minorEastAsia"/>
                <w:lang w:val="fi-FI" w:eastAsia="fi-FI"/>
              </w:rPr>
              <w:t>Nämä eläkejärjestelyt luokitellaan joko maksu- tai etuuspohjaisiksi järjestelyiksi.</w:t>
            </w:r>
          </w:p>
          <w:p w:rsidR="00141345" w:rsidRPr="00656ADE" w14:paraId="45AC8BDA" w14:textId="2AD0B0A7">
            <w:pPr>
              <w:pStyle w:val="Bodytext2"/>
              <w:rPr>
                <w:rFonts w:eastAsiaTheme="minorEastAsia"/>
                <w:lang w:val="fi-FI" w:eastAsia="fi-FI"/>
              </w:rPr>
            </w:pPr>
          </w:p>
          <w:p w:rsidR="00C81C21" w:rsidRPr="00C81C21" w14:paraId="2315D0E2" w14:textId="57E602E0">
            <w:pPr>
              <w:pStyle w:val="Bodytext2"/>
              <w:rPr>
                <w:rFonts w:eastAsiaTheme="minorEastAsia"/>
                <w:lang w:val="fi-FI" w:eastAsia="fi-FI"/>
              </w:rPr>
            </w:pPr>
            <w:r w:rsidRPr="00C81C21">
              <w:rPr>
                <w:rFonts w:eastAsiaTheme="minorEastAsia"/>
                <w:lang w:val="fi-FI" w:eastAsia="fi-FI"/>
              </w:rPr>
              <w:t>Maksupohjaisista järjestelyistä suoritettavat kiinteät maksut</w:t>
            </w:r>
            <w:r>
              <w:rPr>
                <w:rFonts w:eastAsiaTheme="minorEastAsia"/>
                <w:lang w:val="fi-FI" w:eastAsia="fi-FI"/>
              </w:rPr>
              <w:t xml:space="preserve"> maksetaan erilliselle yhtiölle, kuten vakuutusyhtiölle,</w:t>
            </w:r>
            <w:r w:rsidRPr="00C81C21">
              <w:rPr>
                <w:rFonts w:eastAsiaTheme="minorEastAsia"/>
                <w:lang w:val="fi-FI" w:eastAsia="fi-FI"/>
              </w:rPr>
              <w:t xml:space="preserve"> </w:t>
            </w:r>
            <w:r>
              <w:rPr>
                <w:rFonts w:eastAsiaTheme="minorEastAsia"/>
                <w:lang w:val="fi-FI" w:eastAsia="fi-FI"/>
              </w:rPr>
              <w:t xml:space="preserve">ja </w:t>
            </w:r>
            <w:r w:rsidRPr="00C81C21">
              <w:rPr>
                <w:rFonts w:eastAsiaTheme="minorEastAsia"/>
                <w:lang w:val="fi-FI" w:eastAsia="fi-FI"/>
              </w:rPr>
              <w:t>kirjataan</w:t>
            </w:r>
            <w:r w:rsidR="00E229B4">
              <w:rPr>
                <w:rFonts w:eastAsiaTheme="minorEastAsia"/>
                <w:lang w:val="fi-FI" w:eastAsia="fi-FI"/>
              </w:rPr>
              <w:t xml:space="preserve"> tuloslaskelmalla työsuhde-etuuksista aiheutuvaksi</w:t>
            </w:r>
            <w:r w:rsidRPr="00C81C21">
              <w:rPr>
                <w:rFonts w:eastAsiaTheme="minorEastAsia"/>
                <w:lang w:val="fi-FI" w:eastAsia="fi-FI"/>
              </w:rPr>
              <w:t xml:space="preserve"> kuluksi sillä kaudella, johon ne kohdistuvat. Konsernilla ei ole oikeudellista eikä tosiasiallista velvoitetta lisämaksujen suorittamiseen, mikäli maksujen saajataho ei pysty suoriutumaan kyseisten eläke-etuuksien mak</w:t>
            </w:r>
            <w:r w:rsidRPr="00C81C21">
              <w:rPr>
                <w:rFonts w:eastAsiaTheme="minorEastAsia"/>
                <w:lang w:val="fi-FI" w:eastAsia="fi-FI"/>
              </w:rPr>
              <w:t>samisesta.</w:t>
            </w:r>
          </w:p>
          <w:p w:rsidR="00141345" w:rsidRPr="00656ADE" w14:paraId="0A92A63E" w14:textId="77777777">
            <w:pPr>
              <w:pStyle w:val="Bodytext2"/>
              <w:rPr>
                <w:rFonts w:eastAsiaTheme="minorEastAsia"/>
                <w:lang w:val="fi-FI" w:eastAsia="fi-FI"/>
              </w:rPr>
            </w:pPr>
          </w:p>
          <w:p w:rsidR="00141345" w14:paraId="37005E0F" w14:textId="6729AA13">
            <w:pPr>
              <w:pStyle w:val="Bodytext2"/>
              <w:rPr>
                <w:rFonts w:eastAsiaTheme="minorEastAsia"/>
                <w:lang w:val="en-GB" w:eastAsia="fi-FI"/>
              </w:rPr>
            </w:pPr>
            <w:r w:rsidRPr="00E229B4">
              <w:rPr>
                <w:lang w:val="fi-FI"/>
              </w:rPr>
              <w:t xml:space="preserve">Laadintaperiaatteet etuuspohjaisiin eläkejärjestelyihin liittyen on esitetty liitetiedossa </w:t>
            </w:r>
            <w:r w:rsidRPr="00E229B4" w:rsidR="00D55BDD">
              <w:rPr>
                <w:lang w:val="fi-FI"/>
              </w:rPr>
              <w:t xml:space="preserve">4.7. </w:t>
            </w:r>
            <w:r>
              <w:rPr>
                <w:lang w:val="fi-FI"/>
              </w:rPr>
              <w:t>Eläkevelvoitteet</w:t>
            </w:r>
            <w:r w:rsidR="00D55BDD">
              <w:rPr>
                <w:lang w:val="en-GB"/>
              </w:rPr>
              <w:t>.</w:t>
            </w:r>
          </w:p>
        </w:tc>
      </w:tr>
    </w:tbl>
    <w:p w:rsidR="00141345" w:rsidP="00141345" w14:paraId="4175E886" w14:textId="77777777">
      <w:pPr>
        <w:pStyle w:val="Bodytext2"/>
      </w:pPr>
    </w:p>
    <w:tbl>
      <w:tblPr>
        <w:tblStyle w:val="TableNormal"/>
        <w:tblCaption w:val="Table_Employee_benefit_expenses"/>
        <w:tblW w:w="7350" w:type="dxa"/>
        <w:tblLayout w:type="fixed"/>
        <w:tblLook w:val="0600"/>
      </w:tblPr>
      <w:tblGrid>
        <w:gridCol w:w="4860"/>
        <w:gridCol w:w="1245"/>
        <w:gridCol w:w="1245"/>
      </w:tblGrid>
      <w:tr>
        <w:tblPrEx>
          <w:tblW w:w="7350" w:type="dxa"/>
          <w:tblLayout w:type="fixed"/>
          <w:tblLook w:val="0600"/>
        </w:tblPrEx>
        <w:trPr>
          <w:trHeight w:val="240"/>
        </w:trPr>
        <w:tc>
          <w:tcPr>
            <w:tcW w:w="486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Palkat ja palkkiot</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984</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1 028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Eläkekulut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Etuuspohjaiset eläkejärjestelyt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Maksupohjaiset eläkejärjestelyt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henkilösivukulut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132</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1 192</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1 260</w:t>
            </w:r>
          </w:p>
        </w:tc>
      </w:tr>
    </w:tbl>
    <w:p w:rsidR="00141345" w:rsidP="00141345" w14:paraId="63911AA0" w14:textId="77777777">
      <w:pPr>
        <w:pStyle w:val="Bodytext2"/>
      </w:pPr>
    </w:p>
    <w:p w:rsidR="00141345" w:rsidRPr="00C81C21" w:rsidP="00141345" w14:paraId="7D65B511" w14:textId="29663CEC">
      <w:pPr>
        <w:pStyle w:val="Bodytext2"/>
        <w:rPr>
          <w:lang w:val="fi-FI"/>
        </w:rPr>
      </w:pPr>
      <w:r w:rsidRPr="00C81C21">
        <w:rPr>
          <w:lang w:val="fi-FI"/>
        </w:rPr>
        <w:t>Lisätietoja johdon palkitsemisesta liitetiedossa 7.2. Lähipiiritapahtumat.</w:t>
      </w:r>
    </w:p>
    <w:p w:rsidR="00141345" w:rsidRPr="00C81C21" w:rsidP="00141345" w14:paraId="2045C5F2" w14:textId="77777777">
      <w:pPr>
        <w:pStyle w:val="Bodytext2"/>
        <w:rPr>
          <w:lang w:val="fi-FI"/>
        </w:rPr>
      </w:pPr>
    </w:p>
    <w:p w:rsidR="00141345" w:rsidRPr="00C81C21" w:rsidP="00141345" w14:paraId="521435DE" w14:textId="030BF22B">
      <w:pPr>
        <w:pStyle w:val="Heading13"/>
        <w:rPr>
          <w:lang w:val="fi-FI"/>
        </w:rPr>
      </w:pPr>
      <w:r w:rsidRPr="00C81C21">
        <w:rPr>
          <w:lang w:val="fi-FI"/>
        </w:rPr>
        <w:t>Pitkäaikaiset palkitsemisjärjestelmät</w:t>
      </w:r>
    </w:p>
    <w:p w:rsidR="001C7D99" w:rsidRPr="006F03EC" w:rsidP="002C03BF" w14:paraId="3E58EB2A" w14:textId="2E0E9B3E">
      <w:pPr>
        <w:pStyle w:val="Bodytext2"/>
        <w:rPr>
          <w:lang w:val="fi-FI"/>
        </w:rPr>
      </w:pPr>
      <w:r w:rsidRPr="006F03EC">
        <w:rPr>
          <w:lang w:val="fi-FI"/>
        </w:rPr>
        <w:t>Palkkoihin ja palkkioihin sisältyy 7 milj. euroa (4) kulua osakeperusteisista pitkäaikaisista palkitsemisjärjestelmistä. Tilikauden 2020 lopus</w:t>
      </w:r>
      <w:r w:rsidRPr="006F03EC">
        <w:rPr>
          <w:lang w:val="fi-FI"/>
        </w:rPr>
        <w:t>sa Wärtsilällä oli voimassa kolme pitkäaikaista palkitsemisjärjestelmää. Kyseiset palkitsemisjärjestelmät perustuvat osakkeen markkina</w:t>
      </w:r>
      <w:r>
        <w:rPr>
          <w:lang w:val="fi-FI"/>
        </w:rPr>
        <w:t>-</w:t>
      </w:r>
      <w:r w:rsidRPr="006F03EC">
        <w:rPr>
          <w:lang w:val="fi-FI"/>
        </w:rPr>
        <w:t>arvon kehitykseen ennalta määrätyllä aikavälillä. Palkkiolle on asetettu yläraja ja se suoritetaan käteisenä (2018–2020 o</w:t>
      </w:r>
      <w:r w:rsidRPr="006F03EC">
        <w:rPr>
          <w:lang w:val="fi-FI"/>
        </w:rPr>
        <w:t>hjelma) tai osakkeina (2019–2021 ja 2020–2022 ohjelmat) palkitsemisjärjestelmän loputtua työssäoloehdon täyttyminen huomioiden. Johtoryhmän jäsenten tulee hankkia Wärtsilän osakkeita 50%:lla saamistaan nettopalkkioista, kunnes omistus, jonka määrä vastaa a</w:t>
      </w:r>
      <w:r w:rsidRPr="006F03EC">
        <w:rPr>
          <w:lang w:val="fi-FI"/>
        </w:rPr>
        <w:t>rvoltaan henkilön perusvuosipalkkaa bruttona, on saavutettu.</w:t>
      </w:r>
    </w:p>
    <w:p w:rsidR="001C7D99" w:rsidRPr="006F03EC" w:rsidP="002C03BF" w14:paraId="25E55927" w14:textId="77777777">
      <w:pPr>
        <w:pStyle w:val="Bodytext2"/>
        <w:rPr>
          <w:lang w:val="fi-FI"/>
        </w:rPr>
      </w:pPr>
    </w:p>
    <w:p w:rsidR="001C7D99" w:rsidRPr="006F03EC" w:rsidP="002C03BF" w14:paraId="7442854B" w14:textId="77777777">
      <w:pPr>
        <w:pStyle w:val="Bodytext2"/>
        <w:rPr>
          <w:lang w:val="fi-FI"/>
        </w:rPr>
      </w:pPr>
      <w:r w:rsidRPr="006F03EC">
        <w:rPr>
          <w:lang w:val="fi-FI"/>
        </w:rPr>
        <w:t>Kyseisissä palkitsemisjärjestelmissä maksettavan palkkion suuruus perustuu osakkeen kolmen vuoden kurssikehitykseen. Vuoden 2018–2020 ohjelmassa on 3.150.000 palkkio-oikeutta, vuoden</w:t>
      </w:r>
      <w:r w:rsidRPr="006F03EC">
        <w:rPr>
          <w:lang w:val="fi-FI"/>
        </w:rPr>
        <w:t xml:space="preserve"> 2019–2021 ohjelmassa 4.585.000 palkkio-oikeutta ja vuoden 2020–2022 ohjelmassa 8.400.000 palkkio-oikeutta. Vuoden 2018–2020 ohjelmassa lähtöhintana on 22,58 euroa, vuoden 2019–2021 ohjelmassa 16,76 euroa ja vuoden </w:t>
      </w:r>
      <w:r w:rsidRPr="006F03EC">
        <w:rPr>
          <w:lang w:val="fi-FI"/>
        </w:rPr>
        <w:t>2020–2022 ohjelmassa 11,10 euroa. Palkits</w:t>
      </w:r>
      <w:r w:rsidRPr="006F03EC">
        <w:rPr>
          <w:lang w:val="fi-FI"/>
        </w:rPr>
        <w:t>emisjärjestelmissä huomioidaan 100% niiden juoksuaikana maksettavista osingoista. Vuoden 2018–2020 ohjelmassa maksettava palkkio voi olla korkeintaan 8,47 euroa per palkkio-oikeus, vuoden 2019–2021 ohjelmassa 6,56 euroa per palkkio-oikeus ja vuoden 2020–20</w:t>
      </w:r>
      <w:r w:rsidRPr="006F03EC">
        <w:rPr>
          <w:lang w:val="fi-FI"/>
        </w:rPr>
        <w:t>22 ohjelmassa 4,31 euroa per palkkio-oikeus.</w:t>
      </w:r>
    </w:p>
    <w:p w:rsidR="001C7D99" w:rsidRPr="006F03EC" w:rsidP="002C03BF" w14:paraId="370082AF" w14:textId="77777777">
      <w:pPr>
        <w:pStyle w:val="Bodytext2"/>
        <w:rPr>
          <w:lang w:val="fi-FI"/>
        </w:rPr>
      </w:pPr>
    </w:p>
    <w:p w:rsidR="001C7D99" w:rsidRPr="006F03EC" w:rsidP="002C03BF" w14:paraId="29A257E8" w14:textId="4D7C60F9">
      <w:pPr>
        <w:pStyle w:val="Bodytext2"/>
        <w:rPr>
          <w:lang w:val="fi-FI"/>
        </w:rPr>
      </w:pPr>
      <w:r w:rsidRPr="006F03EC">
        <w:rPr>
          <w:lang w:val="fi-FI"/>
        </w:rPr>
        <w:t>Käteisenä suoritettavat palkkio-oikeudet on arvostettu ja kirjattu käypään arvoon tilinpäätöspäivänä huomioiden siihen mennessä kulunut osuus oikeuden syntymisajanjaksosta. Yhtiön osakkeina suoritettavat palkki</w:t>
      </w:r>
      <w:r w:rsidRPr="006F03EC">
        <w:rPr>
          <w:lang w:val="fi-FI"/>
        </w:rPr>
        <w:t>o-oikeudet on arvostettu käypään arvoon oikeuden myöntämispäivänä ja kirjataan kuluksi tasaisesti oikeuden syntymisajanjaksona. Ohjelman 2019–2021 määritetty käypä arvo on 2,69 euroa per palkkio-oikeus ja ohjelman 2020–2022 käypä arvo on 1,34 euroa per pal</w:t>
      </w:r>
      <w:r w:rsidRPr="006F03EC">
        <w:rPr>
          <w:lang w:val="fi-FI"/>
        </w:rPr>
        <w:t>kkio-oikeus.</w:t>
      </w:r>
    </w:p>
    <w:p w:rsidR="00141345" w:rsidRPr="006F03EC" w:rsidP="002C03BF" w14:paraId="25BB9BB1" w14:textId="77777777">
      <w:pPr>
        <w:pStyle w:val="Bodytext2"/>
        <w:rPr>
          <w:lang w:val="fi-FI"/>
        </w:rPr>
      </w:pPr>
    </w:p>
    <w:tbl>
      <w:tblPr>
        <w:tblStyle w:val="TableNormal"/>
        <w:tblCaption w:val="Table_Personnel"/>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Henkilöstö keskimäärin </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18 307</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19 110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Henkilöstö tilikauden lopussa</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17 792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18 795</w:t>
            </w:r>
          </w:p>
        </w:tc>
      </w:tr>
    </w:tbl>
    <w:p w:rsidR="004A0DF2" w:rsidRPr="00721E60" w:rsidP="00141345" w14:textId="78897EED">
      <w:pPr>
        <w:pStyle w:val="Bodytext2"/>
        <w:rPr>
          <w:sz w:val="2"/>
          <w:szCs w:val="2"/>
          <w:lang w:val="fi-FI"/>
        </w:rPr>
      </w:pPr>
      <w:r>
        <w:rPr>
          <w:lang w:val="fi-FI"/>
        </w:rPr>
        <w:br w:type="column"/>
      </w:r>
    </w:p>
    <w:p w:rsidR="005B648E" w:rsidP="005B648E" w14:paraId="1883ED51" w14:textId="70A39453">
      <w:pPr>
        <w:pStyle w:val="Heading12"/>
      </w:pPr>
      <w:bookmarkStart w:id="1128" w:name="RG_MARKER_4699"/>
      <w:r>
        <w:t>2.6. TULOVEROT</w:t>
      </w:r>
      <w:bookmarkEnd w:id="1128"/>
    </w:p>
    <w:tbl>
      <w:tblPr>
        <w:tblStyle w:val="TableGrid"/>
        <w:tblW w:w="7371" w:type="dxa"/>
        <w:tblLook w:val="04A0"/>
      </w:tblPr>
      <w:tblGrid>
        <w:gridCol w:w="7371"/>
      </w:tblGrid>
      <w:tr w14:paraId="77EFC148" w14:textId="77777777" w:rsidTr="005B648E">
        <w:tblPrEx>
          <w:tblW w:w="7371" w:type="dxa"/>
          <w:tblLook w:val="04A0"/>
        </w:tblPrEx>
        <w:tc>
          <w:tcPr>
            <w:tcW w:w="7371" w:type="dxa"/>
            <w:tcBorders>
              <w:top w:val="nil"/>
              <w:left w:val="nil"/>
              <w:bottom w:val="nil"/>
              <w:right w:val="nil"/>
            </w:tcBorders>
            <w:shd w:val="clear" w:color="auto" w:fill="B6C8D1"/>
          </w:tcPr>
          <w:p w:rsidR="005B648E" w:rsidRPr="000633DC" w14:paraId="1833FD9E" w14:textId="6E4CB9BB">
            <w:pPr>
              <w:pStyle w:val="Heading13"/>
              <w:rPr>
                <w:rFonts w:eastAsiaTheme="minorEastAsia" w:cstheme="minorHAnsi"/>
                <w:lang w:val="fi-FI" w:eastAsia="fi-FI"/>
              </w:rPr>
            </w:pPr>
            <w:r w:rsidRPr="000633DC">
              <w:rPr>
                <w:lang w:val="fi-FI"/>
              </w:rPr>
              <w:t>Laadintaperiaatteet</w:t>
            </w:r>
          </w:p>
          <w:p w:rsidR="005B648E" w:rsidRPr="0044773C" w:rsidP="005B648E" w14:paraId="2D1022B0" w14:textId="75E9B335">
            <w:pPr>
              <w:pStyle w:val="Bodytext2"/>
              <w:rPr>
                <w:rFonts w:eastAsiaTheme="minorEastAsia"/>
                <w:lang w:val="fi-FI" w:eastAsia="fi-FI"/>
              </w:rPr>
            </w:pPr>
            <w:r w:rsidRPr="005B648E">
              <w:rPr>
                <w:rFonts w:eastAsiaTheme="minorEastAsia"/>
                <w:lang w:val="fi-FI" w:eastAsia="fi-FI"/>
              </w:rPr>
              <w:t xml:space="preserve">Tuloslaskelman verokulu sisältää konserniyhtiöiden tilikauden verotettavasta tuloksesta paikallisten </w:t>
            </w:r>
            <w:r w:rsidRPr="0044773C">
              <w:rPr>
                <w:rFonts w:eastAsiaTheme="minorEastAsia"/>
                <w:lang w:val="fi-FI" w:eastAsia="fi-FI"/>
              </w:rPr>
              <w:t>säännösten mukaan maksettavaksi tulevat</w:t>
            </w:r>
            <w:r w:rsidRPr="0044773C">
              <w:rPr>
                <w:rFonts w:eastAsiaTheme="minorEastAsia"/>
                <w:lang w:val="fi-FI" w:eastAsia="fi-FI"/>
              </w:rPr>
              <w:t xml:space="preserve"> verot, aikaisempien tilikausien verojen oikaisut sekä laskennallisten verojen muutoksen. Tulosvaikutteisesti kirjattaviin liiketoimiin ja muihin tapahtumiin liittyvät verovaikutukset kirjataan tuloslaskelmaan. Muihin laajan tuloksen eriin tai suoraan omaa</w:t>
            </w:r>
            <w:r w:rsidRPr="0044773C">
              <w:rPr>
                <w:rFonts w:eastAsiaTheme="minorEastAsia"/>
                <w:lang w:val="fi-FI" w:eastAsia="fi-FI"/>
              </w:rPr>
              <w:t>n pääomaan kirjattaviin liiketoimiin tai muihin tapahtumiin liittyvät verovaikutukset kirjataan myös vastaavasti joko muihin laajan tuloksen eriin tai suoraan omaan pääomaan.</w:t>
            </w:r>
          </w:p>
          <w:p w:rsidR="005B648E" w:rsidRPr="0044773C" w:rsidP="005B648E" w14:paraId="5F0F871D" w14:textId="77777777">
            <w:pPr>
              <w:pStyle w:val="Bodytext2"/>
              <w:rPr>
                <w:rFonts w:eastAsiaTheme="minorEastAsia"/>
                <w:lang w:val="fi-FI" w:eastAsia="fi-FI"/>
              </w:rPr>
            </w:pPr>
          </w:p>
          <w:p w:rsidR="0044773C" w:rsidRPr="0044773C" w:rsidP="005B648E" w14:paraId="196394E1" w14:textId="5D93802B">
            <w:pPr>
              <w:pStyle w:val="Bodytext2"/>
              <w:rPr>
                <w:lang w:val="fi-FI"/>
              </w:rPr>
            </w:pPr>
            <w:r>
              <w:rPr>
                <w:lang w:val="fi-FI"/>
              </w:rPr>
              <w:t>Kauden v</w:t>
            </w:r>
            <w:r w:rsidRPr="0044773C">
              <w:rPr>
                <w:lang w:val="fi-FI"/>
              </w:rPr>
              <w:t xml:space="preserve">erokulu on laskettu tilinpäätöspäivänä voimassa olevien </w:t>
            </w:r>
            <w:r>
              <w:rPr>
                <w:lang w:val="fi-FI"/>
              </w:rPr>
              <w:t>tai jo hyväksytt</w:t>
            </w:r>
            <w:r>
              <w:rPr>
                <w:lang w:val="fi-FI"/>
              </w:rPr>
              <w:t>yjen, mutta ei vielä lainvoimaisten</w:t>
            </w:r>
            <w:r w:rsidRPr="0044773C">
              <w:rPr>
                <w:lang w:val="fi-FI"/>
              </w:rPr>
              <w:t xml:space="preserve"> verolakien perusteella niissä maissa, joissa konserniyhtiöt operoivat ja joissa niillä on verotettavaa tuloa.</w:t>
            </w:r>
          </w:p>
          <w:p w:rsidR="005B648E" w:rsidRPr="00A424DF" w:rsidP="005B648E" w14:paraId="5310DA07" w14:textId="77777777">
            <w:pPr>
              <w:pStyle w:val="Bodytext2"/>
              <w:rPr>
                <w:lang w:val="fi-FI"/>
              </w:rPr>
            </w:pPr>
          </w:p>
          <w:p w:rsidR="005B648E" w:rsidRPr="00EE6753" w14:paraId="60BA85BD" w14:textId="4295A593">
            <w:pPr>
              <w:pStyle w:val="Heading13"/>
              <w:rPr>
                <w:rFonts w:eastAsiaTheme="minorEastAsia" w:cstheme="minorHAnsi"/>
                <w:lang w:val="fi-FI" w:eastAsia="fi-FI"/>
              </w:rPr>
            </w:pPr>
            <w:r>
              <w:rPr>
                <w:lang w:val="fi-FI"/>
              </w:rPr>
              <w:t>Kirjanpidolliset arviot ja harkinnat</w:t>
            </w:r>
          </w:p>
          <w:p w:rsidR="000633DC" w:rsidRPr="000633DC" w:rsidP="000633DC" w14:paraId="6EA98211" w14:textId="1303C0A6">
            <w:pPr>
              <w:pStyle w:val="Bodytext2"/>
              <w:rPr>
                <w:rFonts w:eastAsiaTheme="minorEastAsia"/>
                <w:lang w:eastAsia="fi-FI"/>
              </w:rPr>
            </w:pPr>
            <w:r w:rsidRPr="000633DC">
              <w:rPr>
                <w:lang w:val="fi-FI"/>
              </w:rPr>
              <w:t>Konserni on velvollinen maksamaan tuloveroja usean toimivallan alueella,</w:t>
            </w:r>
            <w:r w:rsidRPr="000633DC">
              <w:rPr>
                <w:lang w:val="fi-FI"/>
              </w:rPr>
              <w:t xml:space="preserve"> joten tuloverojen ja verovelkojen laskenta edellyttää harkintaa ja arviointia. </w:t>
            </w:r>
            <w:r w:rsidRPr="000633DC">
              <w:rPr>
                <w:rFonts w:eastAsiaTheme="minorEastAsia"/>
                <w:lang w:val="fi-FI" w:eastAsia="fi-FI"/>
              </w:rPr>
              <w:t>Johto</w:t>
            </w:r>
            <w:r>
              <w:rPr>
                <w:rFonts w:eastAsiaTheme="minorEastAsia"/>
                <w:lang w:val="fi-FI" w:eastAsia="fi-FI"/>
              </w:rPr>
              <w:t xml:space="preserve"> pyrkii t</w:t>
            </w:r>
            <w:r w:rsidRPr="000633DC">
              <w:rPr>
                <w:rFonts w:eastAsiaTheme="minorEastAsia"/>
                <w:lang w:val="fi-FI" w:eastAsia="fi-FI"/>
              </w:rPr>
              <w:t xml:space="preserve">uloveropositioiden </w:t>
            </w:r>
            <w:r>
              <w:rPr>
                <w:rFonts w:eastAsiaTheme="minorEastAsia"/>
                <w:lang w:val="fi-FI" w:eastAsia="fi-FI"/>
              </w:rPr>
              <w:t xml:space="preserve">säännöllisellä </w:t>
            </w:r>
            <w:r w:rsidRPr="000633DC">
              <w:rPr>
                <w:rFonts w:eastAsiaTheme="minorEastAsia"/>
                <w:lang w:val="fi-FI" w:eastAsia="fi-FI"/>
              </w:rPr>
              <w:t>arvioinnilla tunnistamaan tilanteet, joihin liittyy verosäännösten tulkintaan liittyvää epävarmuutta. Epävarmoihin veropositioih</w:t>
            </w:r>
            <w:r w:rsidRPr="000633DC">
              <w:rPr>
                <w:rFonts w:eastAsiaTheme="minorEastAsia"/>
                <w:lang w:val="fi-FI" w:eastAsia="fi-FI"/>
              </w:rPr>
              <w:t xml:space="preserve">in liittyvät varaukset kirjataan, kun pidetään todennäköisenä, että veroviranomaiset eivät tule hyväksymään positioita. </w:t>
            </w:r>
            <w:r w:rsidRPr="000633DC">
              <w:rPr>
                <w:rFonts w:eastAsiaTheme="minorEastAsia"/>
                <w:lang w:eastAsia="fi-FI"/>
              </w:rPr>
              <w:t>Kirjattu varaus perustuu arvioon veroviranomaisille maksettavien lopullisten verojen määrästä.</w:t>
            </w:r>
          </w:p>
        </w:tc>
      </w:tr>
    </w:tbl>
    <w:p w:rsidR="005B648E" w:rsidP="005B648E" w14:paraId="43D6D1C8" w14:textId="77777777">
      <w:pPr>
        <w:pStyle w:val="Bodytext2"/>
      </w:pPr>
    </w:p>
    <w:tbl>
      <w:tblPr>
        <w:tblStyle w:val="TableNormal"/>
        <w:tblCaption w:val="table_income_taxes"/>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center"/>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Tuloverot</w:t>
            </w: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tilikaudelta</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edellisiltä tilikausilta</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Laskennallisten verojen muutos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syntyneet ja purkautuneet väliaikaiset erot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verokantojen muutoksen vaikutus</w:t>
            </w:r>
          </w:p>
        </w:tc>
        <w:tc>
          <w:tcPr>
            <w:tcW w:w="1245" w:type="dxa"/>
            <w:tcBorders>
              <w:top w:val="nil"/>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Efektiivisen verokannan täsmäytyslaskelma:</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 ennen veroja</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Verot laskettuna emoyhtiön verokannalla 20,0%</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Verokannan muutoksen vaikutus</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Ulkomaisten tytäryhtiöiden eriävien verokantojen vaikutus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Verovapaiden tulojen ja vähennyskelvottomien kulujen vaikutus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Osakkuus- ja yhteisyritysten tulosten vaikutus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Kirjaamattomien verotappioiden hyödyntäminen</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Käyttämättömät tilikauden tappiot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verot*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jaksotuserot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Tuloverot edellisiltä tilikausilta</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Konsernin tuloslaskelmaan kirjatut verot</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Efektiivinen verokanta (%)</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30,7</w:t>
            </w:r>
          </w:p>
        </w:tc>
      </w:tr>
    </w:tbl>
    <w:p w:rsidR="005B648E" w:rsidRPr="000633DC" w:rsidP="005B648E" w14:paraId="1CCEDF78" w14:textId="77777777">
      <w:pPr>
        <w:pStyle w:val="Bodytext2"/>
        <w:rPr>
          <w:lang w:val="fi-FI"/>
        </w:rPr>
      </w:pPr>
    </w:p>
    <w:p w:rsidR="005B648E" w:rsidRPr="005B648E" w:rsidP="005B648E" w14:paraId="7310AEDB" w14:textId="77777777">
      <w:pPr>
        <w:pStyle w:val="Bodytext2"/>
        <w:rPr>
          <w:lang w:val="fi-FI"/>
        </w:rPr>
      </w:pPr>
      <w:r w:rsidRPr="005B648E">
        <w:rPr>
          <w:lang w:val="fi-FI"/>
        </w:rPr>
        <w:t xml:space="preserve">* Muut </w:t>
      </w:r>
      <w:r w:rsidRPr="005B648E">
        <w:rPr>
          <w:lang w:val="fi-FI"/>
        </w:rPr>
        <w:t>verot koostuvat pääosin hyödyntämättä jääneistä lähdeveroista ja muista kuin suoraan verotettavaan tuloon perustuvista veroista.</w:t>
      </w:r>
    </w:p>
    <w:p w:rsidR="005B648E" w:rsidRPr="005B648E" w:rsidP="005B648E" w14:paraId="08F921FE" w14:textId="77777777">
      <w:pPr>
        <w:pStyle w:val="Bodytext2"/>
        <w:rPr>
          <w:lang w:val="fi-FI"/>
        </w:rPr>
      </w:pPr>
    </w:p>
    <w:p w:rsidR="005B648E" w:rsidP="005B648E" w14:paraId="70123D0F" w14:textId="2F8D5C7B">
      <w:pPr>
        <w:pStyle w:val="Bodytext2"/>
        <w:rPr>
          <w:lang w:val="fi-FI"/>
        </w:rPr>
      </w:pPr>
      <w:r w:rsidRPr="005B648E">
        <w:rPr>
          <w:lang w:val="fi-FI"/>
        </w:rPr>
        <w:t>Muihin laajan tuloksen eriin liittyvät tuloverot esitetään Laajassa tuloslaskelmassa. Laskennallisten verosaamisten ja -velkoj</w:t>
      </w:r>
      <w:r w:rsidRPr="005B648E">
        <w:rPr>
          <w:lang w:val="fi-FI"/>
        </w:rPr>
        <w:t>en muutokset esitetään liitetiedossa 4.</w:t>
      </w:r>
      <w:r>
        <w:rPr>
          <w:lang w:val="fi-FI"/>
        </w:rPr>
        <w:t>6.</w:t>
      </w:r>
      <w:r w:rsidRPr="005B648E">
        <w:rPr>
          <w:lang w:val="fi-FI"/>
        </w:rPr>
        <w:t xml:space="preserve"> Laskennalliset verot.</w:t>
      </w:r>
    </w:p>
    <w:p w:rsidR="005B648E" w:rsidRPr="005B648E" w:rsidP="005B648E" w14:paraId="1B825BED" w14:textId="77777777">
      <w:pPr>
        <w:pStyle w:val="Bodytext2"/>
        <w:rPr>
          <w:lang w:val="fi-FI"/>
        </w:rPr>
      </w:pPr>
    </w:p>
    <w:p w:rsidR="004A0DF2" w:rsidRPr="005B648E" w:rsidP="005B648E" w14:textId="06BD5CF7">
      <w:pPr>
        <w:pStyle w:val="Bodytext2"/>
        <w:rPr>
          <w:lang w:val="fi-FI"/>
        </w:rPr>
      </w:pPr>
      <w:r w:rsidRPr="005B648E">
        <w:rPr>
          <w:lang w:val="fi-FI"/>
        </w:rPr>
        <w:t>Wärtsilässä on vireillä verotarkastuksia joissakin maissa, mistä voi aiheutua jälkiveropäätöksiä ja niistä johtuvia veroja liitännäismaksuineen.</w:t>
      </w:r>
    </w:p>
    <w:p/>
    <w:p w:rsidR="007D68A5" w:rsidRPr="001819C2" w:rsidP="007D68A5" w14:paraId="16A5BAA9" w14:textId="7C9309C4">
      <w:pPr>
        <w:pStyle w:val="Heading12"/>
        <w:rPr>
          <w:lang w:val="fi-FI"/>
        </w:rPr>
      </w:pPr>
      <w:bookmarkStart w:id="1129" w:name="RG_MARKER_4700"/>
      <w:r w:rsidRPr="001819C2">
        <w:rPr>
          <w:lang w:val="fi-FI"/>
        </w:rPr>
        <w:t>2.7. OSAKEKOHTAINEN TULOS</w:t>
      </w:r>
      <w:bookmarkEnd w:id="1129"/>
    </w:p>
    <w:p w:rsidR="007D68A5" w:rsidRPr="001819C2" w:rsidP="007D68A5" w14:paraId="06CC03BF" w14:textId="231AB352">
      <w:pPr>
        <w:pStyle w:val="Bodytext2"/>
        <w:rPr>
          <w:szCs w:val="15"/>
          <w:lang w:val="fi-FI"/>
        </w:rPr>
      </w:pPr>
      <w:r w:rsidRPr="007D68A5">
        <w:rPr>
          <w:szCs w:val="15"/>
          <w:lang w:val="fi-FI"/>
        </w:rPr>
        <w:t xml:space="preserve">Osakekohtainen tulos lasketaan jakamalla emoyhtiön osakkeenomistajille kuuluva tilikauden tulos osakkeiden keskimääräisellä oikaistulla lukumäärällä tilikauden aikana. </w:t>
      </w:r>
      <w:r w:rsidRPr="001819C2">
        <w:rPr>
          <w:szCs w:val="15"/>
          <w:lang w:val="fi-FI"/>
        </w:rPr>
        <w:t>Tilikausilla ei ole ollut laimennusvaikutteisia ohjelmia</w:t>
      </w:r>
    </w:p>
    <w:p w:rsidR="007D68A5" w:rsidRPr="001819C2" w:rsidP="007D68A5" w14:paraId="525E0F47" w14:textId="77777777">
      <w:pPr>
        <w:pStyle w:val="Bodytext2"/>
        <w:rPr>
          <w:sz w:val="18"/>
          <w:szCs w:val="22"/>
          <w:lang w:val="fi-FI"/>
        </w:rPr>
      </w:pPr>
    </w:p>
    <w:tbl>
      <w:tblPr>
        <w:tblStyle w:val="TableNormal"/>
        <w:tblCaption w:val="table_EPS"/>
        <w:tblW w:w="7365" w:type="dxa"/>
        <w:tblLayout w:type="fixed"/>
        <w:tblLook w:val="0600"/>
      </w:tblPr>
      <w:tblGrid>
        <w:gridCol w:w="4185"/>
        <w:gridCol w:w="1590"/>
        <w:gridCol w:w="1590"/>
      </w:tblGrid>
      <w:tr>
        <w:tblPrEx>
          <w:tblW w:w="7365" w:type="dxa"/>
          <w:tblLayout w:type="fixed"/>
          <w:tblLook w:val="0600"/>
        </w:tblPrEx>
        <w:trPr>
          <w:trHeight w:hRule="exact" w:val="255"/>
        </w:trPr>
        <w:tc>
          <w:tcPr>
            <w:tcW w:w="4185" w:type="dxa"/>
            <w:tcBorders>
              <w:top w:val="nil"/>
              <w:left w:val="nil"/>
              <w:bottom w:val="single" w:sz="8"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00000"/>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4185" w:type="dxa"/>
            <w:tcBorders>
              <w:top w:val="single" w:sz="8" w:space="0" w:color="000000"/>
              <w:left w:val="nil"/>
              <w:bottom w:val="single" w:sz="4"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Emoyhtiön osakkeenomistajille kuuluva tilikauden tulos</w:t>
            </w:r>
          </w:p>
        </w:tc>
        <w:tc>
          <w:tcPr>
            <w:tcW w:w="1590" w:type="dxa"/>
            <w:tcBorders>
              <w:top w:val="single" w:sz="8" w:space="0" w:color="000000"/>
              <w:left w:val="nil"/>
              <w:bottom w:val="single" w:sz="4" w:space="0" w:color="000000"/>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134</w:t>
            </w:r>
          </w:p>
        </w:tc>
        <w:tc>
          <w:tcPr>
            <w:tcW w:w="1590" w:type="dxa"/>
            <w:tcBorders>
              <w:top w:val="single" w:sz="8" w:space="0" w:color="000000"/>
              <w:left w:val="nil"/>
              <w:bottom w:val="single" w:sz="4"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4185" w:type="dxa"/>
            <w:tcBorders>
              <w:top w:val="single" w:sz="4" w:space="0" w:color="000000"/>
              <w:left w:val="nil"/>
              <w:bottom w:val="single" w:sz="4"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0000"/>
              <w:left w:val="nil"/>
              <w:bottom w:val="single" w:sz="4" w:space="0" w:color="000000"/>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0000"/>
              <w:left w:val="nil"/>
              <w:bottom w:val="single" w:sz="4"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4185" w:type="dxa"/>
            <w:tcBorders>
              <w:top w:val="single" w:sz="4" w:space="0" w:color="000000"/>
              <w:left w:val="nil"/>
              <w:bottom w:val="single" w:sz="4"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Osakkeet tuhansina</w:t>
            </w:r>
          </w:p>
        </w:tc>
        <w:tc>
          <w:tcPr>
            <w:tcW w:w="1590" w:type="dxa"/>
            <w:tcBorders>
              <w:top w:val="single" w:sz="4" w:space="0" w:color="000000"/>
              <w:left w:val="nil"/>
              <w:bottom w:val="single" w:sz="4" w:space="0" w:color="000000"/>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0000"/>
              <w:left w:val="nil"/>
              <w:bottom w:val="single" w:sz="4"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4185" w:type="dxa"/>
            <w:tcBorders>
              <w:top w:val="single" w:sz="4" w:space="0" w:color="000000"/>
              <w:left w:val="nil"/>
              <w:bottom w:val="single" w:sz="4" w:space="0" w:color="000000"/>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osakkeiden oikaistu lukumäärä keskimäärin tilikauden aikana*</w:t>
            </w:r>
          </w:p>
        </w:tc>
        <w:tc>
          <w:tcPr>
            <w:tcW w:w="1590" w:type="dxa"/>
            <w:tcBorders>
              <w:top w:val="single" w:sz="4" w:space="0" w:color="000000"/>
              <w:left w:val="nil"/>
              <w:bottom w:val="single" w:sz="4" w:space="0" w:color="000000"/>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591 723</w:t>
            </w:r>
          </w:p>
        </w:tc>
        <w:tc>
          <w:tcPr>
            <w:tcW w:w="1590" w:type="dxa"/>
            <w:tcBorders>
              <w:top w:val="single" w:sz="4" w:space="0" w:color="000000"/>
              <w:left w:val="nil"/>
              <w:bottom w:val="single" w:sz="4"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591 723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4185" w:type="dxa"/>
            <w:tcBorders>
              <w:top w:val="single" w:sz="4" w:space="0" w:color="000000"/>
              <w:left w:val="nil"/>
              <w:bottom w:val="single" w:sz="4"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0000"/>
              <w:left w:val="nil"/>
              <w:bottom w:val="single" w:sz="4" w:space="0" w:color="000000"/>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0000"/>
              <w:left w:val="nil"/>
              <w:bottom w:val="single" w:sz="4"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4185" w:type="dxa"/>
            <w:tcBorders>
              <w:top w:val="single" w:sz="4" w:space="0" w:color="000000"/>
              <w:left w:val="nil"/>
              <w:bottom w:val="single" w:sz="4" w:space="0" w:color="000000"/>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Emoyhtiön osakkeenomistajille kuuluva osakekohtainen tulos (laimentamaton ja laimennettu):</w:t>
            </w:r>
          </w:p>
        </w:tc>
        <w:tc>
          <w:tcPr>
            <w:tcW w:w="1590" w:type="dxa"/>
            <w:tcBorders>
              <w:top w:val="single" w:sz="4" w:space="0" w:color="000000"/>
              <w:left w:val="nil"/>
              <w:bottom w:val="single" w:sz="4" w:space="0" w:color="000000"/>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0000"/>
              <w:left w:val="nil"/>
              <w:bottom w:val="single" w:sz="4" w:space="0" w:color="000000"/>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55"/>
        </w:trPr>
        <w:tc>
          <w:tcPr>
            <w:tcW w:w="4185" w:type="dxa"/>
            <w:tcBorders>
              <w:top w:val="single" w:sz="4" w:space="0" w:color="000000"/>
              <w:left w:val="nil"/>
              <w:bottom w:val="single" w:sz="4" w:space="0" w:color="000000"/>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Tulos/osake (EPS), laimentamaton ja laimennettu, euroa</w:t>
            </w:r>
          </w:p>
        </w:tc>
        <w:tc>
          <w:tcPr>
            <w:tcW w:w="1590" w:type="dxa"/>
            <w:tcBorders>
              <w:top w:val="single" w:sz="4" w:space="0" w:color="000000"/>
              <w:left w:val="nil"/>
              <w:bottom w:val="single" w:sz="4" w:space="0" w:color="000000"/>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0,23</w:t>
            </w:r>
          </w:p>
        </w:tc>
        <w:tc>
          <w:tcPr>
            <w:tcW w:w="1590" w:type="dxa"/>
            <w:tcBorders>
              <w:top w:val="single" w:sz="4" w:space="0" w:color="000000"/>
              <w:left w:val="nil"/>
              <w:bottom w:val="single" w:sz="4" w:space="0" w:color="000000"/>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0,37</w:t>
            </w:r>
          </w:p>
        </w:tc>
      </w:tr>
    </w:tbl>
    <w:p w:rsidR="007D68A5" w:rsidRPr="001819C2" w:rsidP="007D68A5" w14:paraId="4C495A63" w14:textId="77777777">
      <w:pPr>
        <w:pStyle w:val="Bodytext2"/>
        <w:rPr>
          <w:szCs w:val="15"/>
          <w:lang w:val="fi-FI"/>
        </w:rPr>
      </w:pPr>
    </w:p>
    <w:p w:rsidR="004A0DF2" w:rsidRPr="007D68A5" w:rsidP="007D68A5" w14:textId="0A20BB78">
      <w:pPr>
        <w:pStyle w:val="Bodytext2"/>
        <w:rPr>
          <w:sz w:val="2"/>
          <w:szCs w:val="2"/>
          <w:lang w:val="fi-FI"/>
        </w:rPr>
      </w:pPr>
      <w:r w:rsidRPr="007D68A5">
        <w:rPr>
          <w:lang w:val="fi-FI"/>
        </w:rPr>
        <w:t xml:space="preserve">* Lisätietoja </w:t>
      </w:r>
      <w:r w:rsidRPr="007D68A5">
        <w:rPr>
          <w:lang w:val="fi-FI"/>
        </w:rPr>
        <w:t xml:space="preserve">osakkeiden lukumäärästä esitetään liitetiedossa </w:t>
      </w:r>
      <w:r>
        <w:rPr>
          <w:lang w:val="fi-FI"/>
        </w:rPr>
        <w:t>5.5</w:t>
      </w:r>
      <w:r w:rsidRPr="007D68A5">
        <w:rPr>
          <w:lang w:val="fi-FI"/>
        </w:rPr>
        <w:t>. Oma pääoma.</w:t>
      </w:r>
      <w:r w:rsidRPr="007D68A5">
        <w:rPr>
          <w:sz w:val="2"/>
          <w:szCs w:val="2"/>
          <w:lang w:val="fi-FI"/>
        </w:rPr>
        <w:br w:type="column"/>
      </w:r>
    </w:p>
    <w:p w:rsidR="000B7B5D" w:rsidRPr="000B7B5D" w:rsidP="000B7B5D" w14:paraId="41CF8638" w14:textId="2B098F92">
      <w:pPr>
        <w:pStyle w:val="Heading11"/>
        <w:rPr>
          <w:lang w:val="fi-FI"/>
        </w:rPr>
      </w:pPr>
      <w:bookmarkStart w:id="1130" w:name="RG_MARKER_4718"/>
      <w:bookmarkStart w:id="1131" w:name="RG_MARKER_3742"/>
      <w:r w:rsidRPr="000B7B5D">
        <w:rPr>
          <w:lang w:val="fi-FI"/>
        </w:rPr>
        <w:t>3. AINEETTOMAT JA AINEELLISET HYÖDYKKE</w:t>
      </w:r>
      <w:bookmarkEnd w:id="1131"/>
      <w:bookmarkEnd w:id="1130"/>
      <w:r>
        <w:rPr>
          <w:lang w:val="fi-FI"/>
        </w:rPr>
        <w:t>ET</w:t>
      </w:r>
    </w:p>
    <w:p w:rsidR="000B7B5D" w:rsidRPr="000B7B5D" w:rsidP="000B7B5D" w14:paraId="515CE12B" w14:textId="1BF65F4F">
      <w:pPr>
        <w:pStyle w:val="Heading12"/>
        <w:rPr>
          <w:lang w:val="fi-FI"/>
        </w:rPr>
      </w:pPr>
      <w:r w:rsidRPr="000B7B5D">
        <w:rPr>
          <w:lang w:val="fi-FI"/>
        </w:rPr>
        <w:t xml:space="preserve">3.1. </w:t>
      </w:r>
      <w:r>
        <w:rPr>
          <w:lang w:val="fi-FI"/>
        </w:rPr>
        <w:t>LIIKEARVO</w:t>
      </w:r>
    </w:p>
    <w:tbl>
      <w:tblPr>
        <w:tblStyle w:val="TableGrid"/>
        <w:tblW w:w="7371" w:type="dxa"/>
        <w:tblLook w:val="04A0"/>
      </w:tblPr>
      <w:tblGrid>
        <w:gridCol w:w="7371"/>
      </w:tblGrid>
      <w:tr w14:paraId="2D63FC2F" w14:textId="77777777" w:rsidTr="000B7B5D">
        <w:tblPrEx>
          <w:tblW w:w="7371" w:type="dxa"/>
          <w:tblLook w:val="04A0"/>
        </w:tblPrEx>
        <w:tc>
          <w:tcPr>
            <w:tcW w:w="6683" w:type="dxa"/>
            <w:tcBorders>
              <w:top w:val="nil"/>
              <w:left w:val="nil"/>
              <w:bottom w:val="nil"/>
              <w:right w:val="nil"/>
            </w:tcBorders>
            <w:shd w:val="clear" w:color="auto" w:fill="B6C8D1"/>
          </w:tcPr>
          <w:p w:rsidR="000B7B5D" w:rsidRPr="00D12F56" w14:paraId="73370BC1" w14:textId="524E33A8">
            <w:pPr>
              <w:pStyle w:val="Heading13"/>
              <w:rPr>
                <w:rFonts w:eastAsiaTheme="minorEastAsia" w:cstheme="minorHAnsi"/>
                <w:lang w:val="fi-FI" w:eastAsia="fi-FI"/>
              </w:rPr>
            </w:pPr>
            <w:r w:rsidRPr="00D12F56">
              <w:rPr>
                <w:lang w:val="fi-FI"/>
              </w:rPr>
              <w:t>Laadintaperiaatteet</w:t>
            </w:r>
          </w:p>
          <w:p w:rsidR="000B7B5D" w:rsidRPr="00F653B2" w14:paraId="21CAE2DA" w14:textId="62A1F903">
            <w:pPr>
              <w:pStyle w:val="Bodytext2"/>
              <w:rPr>
                <w:rFonts w:eastAsiaTheme="minorEastAsia"/>
                <w:color w:val="0F172B"/>
                <w:szCs w:val="15"/>
                <w:lang w:val="fi-FI" w:eastAsia="fi-FI"/>
              </w:rPr>
            </w:pPr>
            <w:r w:rsidRPr="00D12F56">
              <w:rPr>
                <w:color w:val="0F172B"/>
                <w:szCs w:val="15"/>
                <w:lang w:val="fi-FI"/>
              </w:rPr>
              <w:t>Liiketoimintojen yhdistämisissä muodostuva liikearvo on jäännöserä, joka syntyy vähennettäessä hankintamenosta hankkijaosapuolen osuus hankitun kohteen käypään arvoon arvostetusta nettovarallisuudesta hankintapäivänä. Hankintameno arvostetaan kokonaisuudes</w:t>
            </w:r>
            <w:r w:rsidRPr="00D12F56">
              <w:rPr>
                <w:color w:val="0F172B"/>
                <w:szCs w:val="15"/>
                <w:lang w:val="fi-FI"/>
              </w:rPr>
              <w:t>saan käypään arvoon sisältäen myös mahdollisen aikaisemman omistuksen hankinnan kohteessa.</w:t>
            </w:r>
          </w:p>
          <w:p w:rsidR="000B7B5D" w:rsidRPr="00F653B2" w14:paraId="7F6D82DC" w14:textId="77777777">
            <w:pPr>
              <w:pStyle w:val="Bodytext2"/>
              <w:rPr>
                <w:rFonts w:eastAsiaTheme="minorEastAsia"/>
                <w:color w:val="0F172B"/>
                <w:szCs w:val="15"/>
                <w:lang w:val="fi-FI" w:eastAsia="fi-FI"/>
              </w:rPr>
            </w:pPr>
          </w:p>
          <w:p w:rsidR="000B7B5D" w:rsidRPr="00F12F60" w14:paraId="27421E92" w14:textId="76333FAF">
            <w:pPr>
              <w:pStyle w:val="Heading13"/>
              <w:rPr>
                <w:rFonts w:eastAsiaTheme="minorEastAsia" w:cstheme="minorHAnsi"/>
                <w:lang w:val="fi-FI" w:eastAsia="fi-FI"/>
              </w:rPr>
            </w:pPr>
            <w:r w:rsidRPr="00F12F60">
              <w:rPr>
                <w:lang w:val="fi-FI"/>
              </w:rPr>
              <w:t>Liikearvon arvonalentumiset</w:t>
            </w:r>
          </w:p>
          <w:p w:rsidR="00D12F56" w:rsidRPr="00C57E4F" w:rsidP="00F12F60" w14:paraId="2AC5CC90" w14:textId="71BBD664">
            <w:pPr>
              <w:pStyle w:val="Bodytext2"/>
              <w:rPr>
                <w:lang w:val="fi-FI"/>
              </w:rPr>
            </w:pPr>
            <w:r w:rsidRPr="00F12F60">
              <w:rPr>
                <w:lang w:val="fi-FI"/>
              </w:rPr>
              <w:t>Rahavirtaa tuottaviin yksiköihin kohdistuvan liikearvon tasearvoa tarkastellaan vähintään vuosittain tai useammin, jos arvonalentumisest</w:t>
            </w:r>
            <w:r w:rsidRPr="00F12F60">
              <w:rPr>
                <w:lang w:val="fi-FI"/>
              </w:rPr>
              <w:t>a on viitteitä. Jos viitteitä ilmenee, arvioidaan liikearvosta kerrytettävissä oleva rahamäärä. Mahdollisen arvonalentumisen määrittämiseksi konsernin omaisuus jaetaan pienimpiin mahdollisiin rahavirtaa tuottaviin yksiköihin</w:t>
            </w:r>
            <w:r>
              <w:rPr>
                <w:lang w:val="fi-FI"/>
              </w:rPr>
              <w:t xml:space="preserve"> (RTY)</w:t>
            </w:r>
            <w:r w:rsidRPr="00F12F60">
              <w:rPr>
                <w:lang w:val="fi-FI"/>
              </w:rPr>
              <w:t>, jotka ovat pääosin riipp</w:t>
            </w:r>
            <w:r w:rsidRPr="00F12F60">
              <w:rPr>
                <w:lang w:val="fi-FI"/>
              </w:rPr>
              <w:t xml:space="preserve">umattomia muista yksiköistä ja joiden </w:t>
            </w:r>
            <w:r w:rsidRPr="00C57E4F">
              <w:rPr>
                <w:lang w:val="fi-FI"/>
              </w:rPr>
              <w:t>rahavirrat ovat erotettavissa ja pitkälle riippumattomia muiden vastaavien yksiköiden rahavirroista.</w:t>
            </w:r>
          </w:p>
          <w:p w:rsidR="00D12F56" w:rsidRPr="00C57E4F" w:rsidP="00F12F60" w14:paraId="01457DB8" w14:textId="77777777">
            <w:pPr>
              <w:pStyle w:val="Bodytext2"/>
              <w:rPr>
                <w:lang w:val="fi-FI"/>
              </w:rPr>
            </w:pPr>
          </w:p>
          <w:p w:rsidR="005523E4" w:rsidP="00F12F60" w14:paraId="7D7B6D6F" w14:textId="20E92A37">
            <w:pPr>
              <w:pStyle w:val="Bodytext2"/>
              <w:rPr>
                <w:lang w:val="fi-FI"/>
              </w:rPr>
            </w:pPr>
            <w:r w:rsidRPr="00C57E4F">
              <w:rPr>
                <w:lang w:val="fi-FI"/>
              </w:rPr>
              <w:t>Arvonalentumistappio kirjataan, kun omaisuuserän kirjanpitoarvo ylittää siitä kerrytettävissä olevan rahamäärän. Ker</w:t>
            </w:r>
            <w:r w:rsidRPr="00C57E4F">
              <w:rPr>
                <w:lang w:val="fi-FI"/>
              </w:rPr>
              <w:t>rytettävissä oleva rahamäärä on omaisuuserän käypä arvo vähennettynä myynnistä aiheutuvilla menoilla tai käyttöarvo sen mukaan, kumpi niistä on suurempi. Liikearvon käyttöarvo perustuu kyseisestä omaisuuserästä tai rahavirtaa tuottavasta yksiköstä saatavis</w:t>
            </w:r>
            <w:r w:rsidRPr="00C57E4F">
              <w:rPr>
                <w:lang w:val="fi-FI"/>
              </w:rPr>
              <w:t>sa oleviin arvioituihin tuleviin diskontattuihin nettorahavirtoihin.</w:t>
            </w:r>
          </w:p>
          <w:p w:rsidR="005523E4" w:rsidP="00F12F60" w14:paraId="5013C13D" w14:textId="77777777">
            <w:pPr>
              <w:pStyle w:val="Bodytext2"/>
              <w:rPr>
                <w:lang w:val="fi-FI"/>
              </w:rPr>
            </w:pPr>
          </w:p>
          <w:p w:rsidR="00D12F56" w:rsidRPr="00C57E4F" w:rsidP="00F12F60" w14:paraId="3F20702B" w14:textId="104C2176">
            <w:pPr>
              <w:pStyle w:val="Bodytext2"/>
              <w:rPr>
                <w:lang w:val="fi-FI"/>
              </w:rPr>
            </w:pPr>
            <w:r w:rsidRPr="00C57E4F">
              <w:rPr>
                <w:lang w:val="fi-FI"/>
              </w:rPr>
              <w:t>Diskonttauskorkona käytetään ennen veroa määritettyä korkoa, joka kuvastaa markkinoiden näkemystä rahan aika-arvosta ja omaisuuserään liittyvistä riskeistä.</w:t>
            </w:r>
          </w:p>
          <w:p w:rsidR="000B0EB2" w:rsidRPr="00C57E4F" w:rsidP="00F12F60" w14:paraId="1B634AA8" w14:textId="77777777">
            <w:pPr>
              <w:pStyle w:val="Bodytext2"/>
              <w:rPr>
                <w:lang w:val="fi-FI"/>
              </w:rPr>
            </w:pPr>
          </w:p>
          <w:p w:rsidR="000B7B5D" w:rsidRPr="00C57E4F" w:rsidP="00F12F60" w14:paraId="1F045D6A" w14:textId="5BB9AF33">
            <w:pPr>
              <w:pStyle w:val="Bodytext2"/>
              <w:rPr>
                <w:lang w:val="fi-FI"/>
              </w:rPr>
            </w:pPr>
            <w:r w:rsidRPr="00C57E4F">
              <w:rPr>
                <w:lang w:val="fi-FI"/>
              </w:rPr>
              <w:t>Arvonalentumistappio kirjata</w:t>
            </w:r>
            <w:r w:rsidRPr="00C57E4F">
              <w:rPr>
                <w:lang w:val="fi-FI"/>
              </w:rPr>
              <w:t xml:space="preserve">an välittömästi tuloslaskelmalla </w:t>
            </w:r>
            <w:r>
              <w:rPr>
                <w:lang w:val="fi-FI"/>
              </w:rPr>
              <w:t>poistoihin ja arvonalentumisiin</w:t>
            </w:r>
            <w:r w:rsidRPr="00C57E4F">
              <w:rPr>
                <w:lang w:val="fi-FI"/>
              </w:rPr>
              <w:t>. Liikearvosta kirjattua arvonalentumistappiota ei peruta missään tilanteessa.</w:t>
            </w:r>
          </w:p>
          <w:p w:rsidR="000B7B5D" w:rsidRPr="00C57E4F" w14:paraId="05805B2B" w14:textId="77777777">
            <w:pPr>
              <w:pStyle w:val="Bodytext2"/>
              <w:rPr>
                <w:rFonts w:eastAsiaTheme="minorEastAsia"/>
                <w:color w:val="0F172B"/>
                <w:szCs w:val="15"/>
                <w:lang w:val="fi-FI" w:eastAsia="fi-FI"/>
              </w:rPr>
            </w:pPr>
          </w:p>
          <w:p w:rsidR="000B7B5D" w:rsidRPr="00C57E4F" w14:paraId="283621D1" w14:textId="69394CC3">
            <w:pPr>
              <w:pStyle w:val="Heading13"/>
              <w:rPr>
                <w:rFonts w:eastAsiaTheme="minorEastAsia" w:cstheme="minorHAnsi"/>
                <w:lang w:val="fi-FI" w:eastAsia="fi-FI"/>
              </w:rPr>
            </w:pPr>
            <w:r w:rsidRPr="00C57E4F">
              <w:rPr>
                <w:lang w:val="fi-FI"/>
              </w:rPr>
              <w:t>Kirjanpidolliset arviot ja harkinnat</w:t>
            </w:r>
          </w:p>
          <w:p w:rsidR="000B7B5D" w14:paraId="7CBC6038" w14:textId="2B2250CF">
            <w:pPr>
              <w:pStyle w:val="Bodytext2"/>
              <w:rPr>
                <w:color w:val="0F172B"/>
                <w:szCs w:val="15"/>
                <w:lang w:val="fi-FI"/>
              </w:rPr>
            </w:pPr>
            <w:r w:rsidRPr="00C57E4F">
              <w:rPr>
                <w:color w:val="0F172B"/>
                <w:szCs w:val="15"/>
                <w:lang w:val="fi-FI"/>
              </w:rPr>
              <w:t xml:space="preserve">Liikearvon kerrytettävissä oleva rahamäärä määritetään </w:t>
            </w:r>
            <w:r w:rsidRPr="00C57E4F">
              <w:rPr>
                <w:color w:val="0F172B"/>
                <w:szCs w:val="15"/>
                <w:lang w:val="fi-FI"/>
              </w:rPr>
              <w:t>käyttöarvon muodossa kaikille rahavirtaa tuottaville yksiköille vähintään vuosittain tai useammin, jos arvonalentumisesta on viitteitä. Käyttöarvon määrittämisessä käytetään arvioita tulevasta markkinakehityksestä, kuten kasvua ja kannattavuutta sekä muita</w:t>
            </w:r>
            <w:r w:rsidRPr="00C57E4F">
              <w:rPr>
                <w:color w:val="0F172B"/>
                <w:szCs w:val="15"/>
                <w:lang w:val="fi-FI"/>
              </w:rPr>
              <w:t xml:space="preserve"> olennaisia tekijöitä. Vaikutuksiltaan merkittävimpiä arvioiden perustana olevia tekijöitä ovat myynnin kasvu markkina-alueella, liiketulos, omaisuuserien taloudellinen vaikutusaika, tulevat investointitarpeet sekä diskonttokorko. Näiden oletusten muutokse</w:t>
            </w:r>
            <w:r w:rsidRPr="00C57E4F">
              <w:rPr>
                <w:color w:val="0F172B"/>
                <w:szCs w:val="15"/>
                <w:lang w:val="fi-FI"/>
              </w:rPr>
              <w:t>t voivat olennaisesti vaikuttaa arvioituihin tulevaisuudessa kertyviin rahavirtoihin.</w:t>
            </w:r>
          </w:p>
          <w:p w:rsidR="0051591B" w14:paraId="3F503A29" w14:textId="77777777">
            <w:pPr>
              <w:pStyle w:val="Bodytext2"/>
              <w:rPr>
                <w:rFonts w:eastAsiaTheme="minorEastAsia"/>
                <w:color w:val="0F172B"/>
                <w:szCs w:val="15"/>
                <w:lang w:val="fi-FI" w:eastAsia="fi-FI"/>
              </w:rPr>
            </w:pPr>
          </w:p>
          <w:p w:rsidR="0051591B" w:rsidRPr="000B0EB2" w:rsidP="0051591B" w14:paraId="3FBC144F" w14:textId="5585A542">
            <w:pPr>
              <w:pStyle w:val="Bodytext2"/>
              <w:rPr>
                <w:rFonts w:eastAsiaTheme="minorEastAsia"/>
                <w:color w:val="0F172B"/>
                <w:szCs w:val="15"/>
                <w:lang w:val="fi-FI" w:eastAsia="fi-FI"/>
              </w:rPr>
            </w:pPr>
            <w:r w:rsidRPr="0051591B">
              <w:rPr>
                <w:rFonts w:eastAsiaTheme="minorEastAsia"/>
                <w:color w:val="0F172B"/>
                <w:szCs w:val="15"/>
                <w:lang w:val="fi-FI" w:eastAsia="fi-FI"/>
              </w:rPr>
              <w:t>Arvonalentumisen viitteiden arvioimisessa Wärtsilän johto on käyttänyt merkittävää harkintaa. Toimintasegmenttien</w:t>
            </w:r>
            <w:r>
              <w:rPr>
                <w:rFonts w:eastAsiaTheme="minorEastAsia"/>
                <w:color w:val="0F172B"/>
                <w:szCs w:val="15"/>
                <w:lang w:val="fi-FI" w:eastAsia="fi-FI"/>
              </w:rPr>
              <w:t xml:space="preserve"> </w:t>
            </w:r>
            <w:r w:rsidRPr="0051591B">
              <w:rPr>
                <w:rFonts w:eastAsiaTheme="minorEastAsia"/>
                <w:color w:val="0F172B"/>
                <w:szCs w:val="15"/>
                <w:lang w:val="fi-FI" w:eastAsia="fi-FI"/>
              </w:rPr>
              <w:t>kerrytettävissä olevaa rahamäärää on verrattu niiden ta</w:t>
            </w:r>
            <w:r w:rsidRPr="0051591B">
              <w:rPr>
                <w:rFonts w:eastAsiaTheme="minorEastAsia"/>
                <w:color w:val="0F172B"/>
                <w:szCs w:val="15"/>
                <w:lang w:val="fi-FI" w:eastAsia="fi-FI"/>
              </w:rPr>
              <w:t xml:space="preserve">searvoon. Koronaviruksen (COVID-19) </w:t>
            </w:r>
            <w:r>
              <w:rPr>
                <w:rFonts w:eastAsiaTheme="minorEastAsia"/>
                <w:color w:val="0F172B"/>
                <w:szCs w:val="15"/>
                <w:lang w:val="fi-FI" w:eastAsia="fi-FI"/>
              </w:rPr>
              <w:t xml:space="preserve">taloudellista </w:t>
            </w:r>
            <w:r w:rsidRPr="0051591B">
              <w:rPr>
                <w:rFonts w:eastAsiaTheme="minorEastAsia"/>
                <w:color w:val="0F172B"/>
                <w:szCs w:val="15"/>
                <w:lang w:val="fi-FI" w:eastAsia="fi-FI"/>
              </w:rPr>
              <w:t>kokonaisvaikutusta ei</w:t>
            </w:r>
            <w:r>
              <w:rPr>
                <w:rFonts w:eastAsiaTheme="minorEastAsia"/>
                <w:color w:val="0F172B"/>
                <w:szCs w:val="15"/>
                <w:lang w:val="fi-FI" w:eastAsia="fi-FI"/>
              </w:rPr>
              <w:t xml:space="preserve"> </w:t>
            </w:r>
            <w:r w:rsidRPr="0051591B">
              <w:rPr>
                <w:rFonts w:eastAsiaTheme="minorEastAsia"/>
                <w:color w:val="0F172B"/>
                <w:szCs w:val="15"/>
                <w:lang w:val="fi-FI" w:eastAsia="fi-FI"/>
              </w:rPr>
              <w:t xml:space="preserve">ole tällä hetkellä mahdollista arvioida, sillä vaikutukset </w:t>
            </w:r>
            <w:r w:rsidRPr="0051591B">
              <w:rPr>
                <w:rFonts w:eastAsiaTheme="minorEastAsia"/>
                <w:color w:val="0F172B"/>
                <w:szCs w:val="15"/>
                <w:lang w:val="fi-FI" w:eastAsia="fi-FI"/>
              </w:rPr>
              <w:t>riippuvat pandemian kestosta ja vakavuudesta eri</w:t>
            </w:r>
            <w:r>
              <w:rPr>
                <w:rFonts w:eastAsiaTheme="minorEastAsia"/>
                <w:color w:val="0F172B"/>
                <w:szCs w:val="15"/>
                <w:lang w:val="fi-FI" w:eastAsia="fi-FI"/>
              </w:rPr>
              <w:t xml:space="preserve"> </w:t>
            </w:r>
            <w:r w:rsidRPr="0051591B">
              <w:rPr>
                <w:rFonts w:eastAsiaTheme="minorEastAsia"/>
                <w:color w:val="0F172B"/>
                <w:szCs w:val="15"/>
                <w:lang w:val="fi-FI" w:eastAsia="fi-FI"/>
              </w:rPr>
              <w:t>maantieteellisillä alueilla. Ne riippuvat toimenpiteistä, joilla hillitään v</w:t>
            </w:r>
            <w:r w:rsidRPr="0051591B">
              <w:rPr>
                <w:rFonts w:eastAsiaTheme="minorEastAsia"/>
                <w:color w:val="0F172B"/>
                <w:szCs w:val="15"/>
                <w:lang w:val="fi-FI" w:eastAsia="fi-FI"/>
              </w:rPr>
              <w:t>irusta, mikä vuorostaan määrittää</w:t>
            </w:r>
            <w:r>
              <w:rPr>
                <w:rFonts w:eastAsiaTheme="minorEastAsia"/>
                <w:color w:val="0F172B"/>
                <w:szCs w:val="15"/>
                <w:lang w:val="fi-FI" w:eastAsia="fi-FI"/>
              </w:rPr>
              <w:t xml:space="preserve"> </w:t>
            </w:r>
            <w:r w:rsidRPr="0051591B">
              <w:rPr>
                <w:rFonts w:eastAsiaTheme="minorEastAsia"/>
                <w:color w:val="0F172B"/>
                <w:szCs w:val="15"/>
                <w:lang w:val="fi-FI" w:eastAsia="fi-FI"/>
              </w:rPr>
              <w:t>toipumisvauhtia eri alueilla. Täten markkinakehityksen, kasvun ja muiden merkittävien tekijöiden arviointi on</w:t>
            </w:r>
            <w:r>
              <w:rPr>
                <w:rFonts w:eastAsiaTheme="minorEastAsia"/>
                <w:color w:val="0F172B"/>
                <w:szCs w:val="15"/>
                <w:lang w:val="fi-FI" w:eastAsia="fi-FI"/>
              </w:rPr>
              <w:t xml:space="preserve"> </w:t>
            </w:r>
            <w:r w:rsidRPr="0051591B">
              <w:rPr>
                <w:rFonts w:eastAsiaTheme="minorEastAsia"/>
                <w:color w:val="0F172B"/>
                <w:szCs w:val="15"/>
                <w:lang w:val="fi-FI" w:eastAsia="fi-FI"/>
              </w:rPr>
              <w:t>haastavaa nykyisessä tilanteessa. Liikearvon nykyarvon arviossa käytetyt oletukset perustuvat johdon parhaaseen</w:t>
            </w:r>
            <w:r>
              <w:rPr>
                <w:rFonts w:eastAsiaTheme="minorEastAsia"/>
                <w:color w:val="0F172B"/>
                <w:szCs w:val="15"/>
                <w:lang w:val="fi-FI" w:eastAsia="fi-FI"/>
              </w:rPr>
              <w:t xml:space="preserve"> </w:t>
            </w:r>
            <w:r w:rsidRPr="0051591B">
              <w:rPr>
                <w:rFonts w:eastAsiaTheme="minorEastAsia"/>
                <w:color w:val="0F172B"/>
                <w:szCs w:val="15"/>
                <w:lang w:val="fi-FI" w:eastAsia="fi-FI"/>
              </w:rPr>
              <w:t>arvioon näissä olosuhteissa.</w:t>
            </w:r>
          </w:p>
        </w:tc>
      </w:tr>
    </w:tbl>
    <w:p w:rsidR="000B7B5D" w:rsidRPr="000B0EB2" w:rsidP="000B7B5D" w14:paraId="6FCE569C" w14:textId="77777777">
      <w:pPr>
        <w:pStyle w:val="Bodytext2"/>
        <w:rPr>
          <w:color w:val="0F172B"/>
          <w:szCs w:val="15"/>
          <w:lang w:val="fi-FI" w:eastAsia="fi-FI"/>
        </w:rPr>
      </w:pPr>
    </w:p>
    <w:p w:rsidR="000B7B5D" w:rsidP="000B7B5D" w14:paraId="59DDA012" w14:textId="166D2EC7">
      <w:pPr>
        <w:pStyle w:val="Heading13"/>
      </w:pPr>
      <w:r>
        <w:t>Liikearvo 2020</w:t>
      </w:r>
    </w:p>
    <w:p w:rsidR="000B7B5D" w:rsidP="000B7B5D" w14:paraId="2652C70E" w14:textId="77777777">
      <w:pPr>
        <w:pStyle w:val="Bodytext2"/>
        <w:rPr>
          <w:color w:val="0F172B"/>
          <w:szCs w:val="15"/>
        </w:rPr>
      </w:pPr>
    </w:p>
    <w:tbl>
      <w:tblPr>
        <w:tblStyle w:val="TableNormal"/>
        <w:tblCaption w:val="table_goodwill_current"/>
        <w:tblW w:w="7350" w:type="dxa"/>
        <w:tblLayout w:type="fixed"/>
        <w:tblLook w:val="0600"/>
      </w:tblPr>
      <w:tblGrid>
        <w:gridCol w:w="4860"/>
        <w:gridCol w:w="1245"/>
        <w:gridCol w:w="1245"/>
      </w:tblGrid>
      <w:tr>
        <w:tblPrEx>
          <w:tblW w:w="7350" w:type="dxa"/>
          <w:tblLayout w:type="fixed"/>
          <w:tblLook w:val="0600"/>
        </w:tblPrEx>
        <w:trPr>
          <w:trHeight w:hRule="exact" w:val="240"/>
        </w:trPr>
        <w:tc>
          <w:tcPr>
            <w:tcW w:w="610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Wärtsilä-konserni</w:t>
            </w: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1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1.1.</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1 380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10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Muutokset valuuttakursseissa</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30.6.</w:t>
            </w: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1 339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Muutokset valuuttakursseissa</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105" w:type="dxa"/>
            <w:gridSpan w:val="2"/>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Yritysmyynnit ja arvonalentumiset</w:t>
            </w:r>
          </w:p>
        </w:tc>
        <w:tc>
          <w:tcPr>
            <w:tcW w:w="12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 myytävänä oleviin omaisuuseriin</w:t>
            </w:r>
          </w:p>
        </w:tc>
        <w:tc>
          <w:tcPr>
            <w:tcW w:w="12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10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31.12.</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1 325</w:t>
            </w:r>
          </w:p>
        </w:tc>
      </w:tr>
    </w:tbl>
    <w:p w:rsidR="000B7B5D" w:rsidRPr="00E15F68" w:rsidP="00A8308F" w14:paraId="514BC31C" w14:textId="77777777">
      <w:pPr>
        <w:pStyle w:val="Bodytext2"/>
        <w:rPr>
          <w:lang w:val="fi-FI"/>
        </w:rPr>
      </w:pPr>
    </w:p>
    <w:p w:rsidR="00F653B2" w:rsidRPr="00F653B2" w:rsidP="00A8308F" w14:paraId="46BC4D9F" w14:textId="7DC344B0">
      <w:pPr>
        <w:pStyle w:val="Bodytext2"/>
        <w:rPr>
          <w:lang w:val="fi-FI"/>
        </w:rPr>
      </w:pPr>
      <w:r w:rsidRPr="00F653B2">
        <w:rPr>
          <w:lang w:val="fi-FI"/>
        </w:rPr>
        <w:t>Yritysmyynnit ja arvonalentumiset liikearvossa liittyvät myytyihin liiketoimintoihin Portfolio Busine</w:t>
      </w:r>
      <w:r>
        <w:rPr>
          <w:lang w:val="fi-FI"/>
        </w:rPr>
        <w:t>ssissä</w:t>
      </w:r>
      <w:r w:rsidRPr="00F653B2">
        <w:rPr>
          <w:lang w:val="fi-FI"/>
        </w:rPr>
        <w:t>. Nämä liiketoiminnot luokiteltiin ensin myytävänä oleviksi omaisuuseriksi ja myytiin myöhemmin. Yritysmyyntien kokonaisvaikutus tilikauden tulokseen</w:t>
      </w:r>
      <w:r w:rsidRPr="00F653B2">
        <w:rPr>
          <w:lang w:val="fi-FI"/>
        </w:rPr>
        <w:t xml:space="preserve"> on esitetty liitetiedossa 6.2. Yritysmyynnit.</w:t>
      </w:r>
    </w:p>
    <w:p w:rsidR="000B7B5D" w:rsidRPr="00F653B2" w:rsidP="00A8308F" w14:paraId="39799041" w14:textId="77777777">
      <w:pPr>
        <w:pStyle w:val="Bodytext2"/>
        <w:rPr>
          <w:highlight w:val="magenta"/>
          <w:lang w:val="fi-FI"/>
        </w:rPr>
      </w:pPr>
    </w:p>
    <w:p w:rsidR="00F653B2" w:rsidRPr="00F653B2" w:rsidP="00A8308F" w14:paraId="3098E945" w14:textId="33B2E02B">
      <w:pPr>
        <w:pStyle w:val="Bodytext2"/>
        <w:rPr>
          <w:lang w:val="fi-FI"/>
        </w:rPr>
      </w:pPr>
      <w:r w:rsidRPr="00F653B2">
        <w:rPr>
          <w:lang w:val="fi-FI"/>
        </w:rPr>
        <w:t xml:space="preserve">Kaikki tällä hetkellä myytävänä olevina </w:t>
      </w:r>
      <w:r w:rsidR="009F2F39">
        <w:rPr>
          <w:lang w:val="fi-FI"/>
        </w:rPr>
        <w:t>omaisuuserinä</w:t>
      </w:r>
      <w:r w:rsidRPr="00F653B2">
        <w:rPr>
          <w:lang w:val="fi-FI"/>
        </w:rPr>
        <w:t xml:space="preserve"> esitetyt liiketoiminnot kuuluvat Portfolio Busine</w:t>
      </w:r>
      <w:r>
        <w:rPr>
          <w:lang w:val="fi-FI"/>
        </w:rPr>
        <w:t>ssiin</w:t>
      </w:r>
      <w:r w:rsidRPr="00F653B2">
        <w:rPr>
          <w:lang w:val="fi-FI"/>
        </w:rPr>
        <w:t>. Kokonaisvaikutus tilikauden tulokseen on esitetty liitetiedossa 6.3. Myytävänä olevat omaisuuserät</w:t>
      </w:r>
      <w:r w:rsidRPr="00F653B2">
        <w:rPr>
          <w:lang w:val="fi-FI"/>
        </w:rPr>
        <w:t>.</w:t>
      </w:r>
    </w:p>
    <w:p w:rsidR="000B7B5D" w:rsidRPr="00F653B2" w:rsidP="000B7B5D" w14:paraId="1934E4B5" w14:textId="77777777">
      <w:pPr>
        <w:pStyle w:val="Bodytext2"/>
        <w:rPr>
          <w:color w:val="0F172B"/>
          <w:szCs w:val="15"/>
          <w:lang w:val="fi-FI"/>
        </w:rPr>
      </w:pPr>
    </w:p>
    <w:p w:rsidR="000B7B5D" w:rsidRPr="000B7B5D" w:rsidP="000B7B5D" w14:paraId="1D36B8FD" w14:textId="0CBD57AB">
      <w:pPr>
        <w:pStyle w:val="Heading13"/>
        <w:rPr>
          <w:lang w:val="fi-FI"/>
        </w:rPr>
      </w:pPr>
      <w:r w:rsidRPr="000B7B5D">
        <w:rPr>
          <w:lang w:val="fi-FI"/>
        </w:rPr>
        <w:t>Liikearvon kohdistaminen</w:t>
      </w:r>
    </w:p>
    <w:p w:rsidR="000B7B5D" w:rsidRPr="00F653B2" w:rsidP="000B7B5D" w14:paraId="2269714A" w14:textId="5B18C3C4">
      <w:pPr>
        <w:pStyle w:val="Bodytext2"/>
        <w:rPr>
          <w:color w:val="0F172B"/>
          <w:szCs w:val="15"/>
          <w:lang w:val="fi-FI"/>
        </w:rPr>
      </w:pPr>
      <w:r w:rsidRPr="000B7B5D">
        <w:rPr>
          <w:color w:val="0F172B"/>
          <w:szCs w:val="15"/>
          <w:lang w:val="fi-FI"/>
        </w:rPr>
        <w:t xml:space="preserve">Yrityshankinnoissa syntyvä liikearvo on kohdistettu uusille toimintasegmenteille ja muille liiketoiminnoille, jotka ovat myös konsernin rahavirtaa tuottavat yksiköt liikearvon arvonalentumistestauksessa. </w:t>
      </w:r>
      <w:r w:rsidRPr="00F653B2">
        <w:rPr>
          <w:color w:val="0F172B"/>
          <w:szCs w:val="15"/>
          <w:lang w:val="fi-FI"/>
        </w:rPr>
        <w:t>1.7.2020 alkaen RTY:t ov</w:t>
      </w:r>
      <w:r w:rsidRPr="00F653B2">
        <w:rPr>
          <w:color w:val="0F172B"/>
          <w:szCs w:val="15"/>
          <w:lang w:val="fi-FI"/>
        </w:rPr>
        <w:t>at Marine Power, Marine Systems, Voyage, Energy ja Portfolio Business.</w:t>
      </w:r>
    </w:p>
    <w:p w:rsidR="000B7B5D" w:rsidRPr="00F653B2" w:rsidP="000B7B5D" w14:paraId="601B2C70" w14:textId="77777777">
      <w:pPr>
        <w:pStyle w:val="Bodytext2"/>
        <w:rPr>
          <w:color w:val="0F172B"/>
          <w:szCs w:val="15"/>
          <w:lang w:val="fi-FI"/>
        </w:rPr>
      </w:pPr>
    </w:p>
    <w:p w:rsidR="000B7B5D" w:rsidRPr="00A8308F" w:rsidP="000B7B5D" w14:paraId="2702F552" w14:textId="6C3EE73D">
      <w:pPr>
        <w:pStyle w:val="Bodytext2"/>
        <w:rPr>
          <w:color w:val="0F172B"/>
          <w:sz w:val="2"/>
          <w:szCs w:val="2"/>
          <w:lang w:val="fi-FI"/>
        </w:rPr>
      </w:pPr>
      <w:r w:rsidRPr="000B7B5D">
        <w:rPr>
          <w:color w:val="0F172B"/>
          <w:szCs w:val="15"/>
          <w:lang w:val="fi-FI"/>
        </w:rPr>
        <w:t>Uudelleen kohdistaminen on tehty vähäisiä poikkeuksia lukuun</w:t>
      </w:r>
      <w:r>
        <w:rPr>
          <w:color w:val="0F172B"/>
          <w:szCs w:val="15"/>
          <w:lang w:val="fi-FI"/>
        </w:rPr>
        <w:t xml:space="preserve"> </w:t>
      </w:r>
      <w:r w:rsidRPr="000B7B5D">
        <w:rPr>
          <w:color w:val="0F172B"/>
          <w:szCs w:val="15"/>
          <w:lang w:val="fi-FI"/>
        </w:rPr>
        <w:t>ottamatta käyttämällä arvojen suhteeseen perustuvaa lähestymistapaa.</w:t>
      </w:r>
      <w:r>
        <w:rPr>
          <w:color w:val="0F172B"/>
          <w:szCs w:val="15"/>
          <w:lang w:val="fi-FI"/>
        </w:rPr>
        <w:br w:type="column"/>
      </w:r>
    </w:p>
    <w:tbl>
      <w:tblPr>
        <w:tblStyle w:val="TableNormal"/>
        <w:tblCaption w:val="table_goodwill_cgu_current"/>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1.7.2020</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535</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165</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98</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502</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1 339</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1 325</w:t>
            </w:r>
          </w:p>
        </w:tc>
      </w:tr>
    </w:tbl>
    <w:p w:rsidR="000B7B5D" w:rsidP="000B7B5D" w14:paraId="45E6319D" w14:textId="77777777">
      <w:pPr>
        <w:pStyle w:val="Bodytext2"/>
        <w:rPr>
          <w:color w:val="0F172B"/>
          <w:szCs w:val="15"/>
        </w:rPr>
      </w:pPr>
    </w:p>
    <w:p w:rsidR="000B7B5D" w:rsidRPr="000B7B5D" w:rsidP="000B7B5D" w14:paraId="2B0A3106" w14:textId="35C00F82">
      <w:pPr>
        <w:pStyle w:val="Heading13"/>
        <w:rPr>
          <w:lang w:val="fi-FI"/>
        </w:rPr>
      </w:pPr>
      <w:r w:rsidRPr="000B7B5D">
        <w:rPr>
          <w:lang w:val="fi-FI"/>
        </w:rPr>
        <w:t>Liikearvon arvonalen</w:t>
      </w:r>
      <w:r w:rsidRPr="000B7B5D">
        <w:rPr>
          <w:lang w:val="fi-FI"/>
        </w:rPr>
        <w:t>tumistestaus per 30.6.2020</w:t>
      </w:r>
    </w:p>
    <w:p w:rsidR="000B7B5D" w:rsidRPr="000B7B5D" w:rsidP="000B7B5D" w14:paraId="4107769E" w14:textId="4CF64F17">
      <w:pPr>
        <w:pStyle w:val="Bodytext2"/>
        <w:rPr>
          <w:color w:val="0F172B"/>
          <w:szCs w:val="15"/>
          <w:lang w:val="fi-FI"/>
        </w:rPr>
      </w:pPr>
      <w:r w:rsidRPr="000B7B5D">
        <w:rPr>
          <w:color w:val="0F172B"/>
          <w:szCs w:val="15"/>
          <w:lang w:val="fi-FI"/>
        </w:rPr>
        <w:t>COVID-19:n puhkeamisen ja uuden organisaatiorakenteen vuoksi Wärtsilä suoritti liikearvon arvonalentumistestauksen myös vuoden 2020 toisella neljänneksellä. Liikearvon testauksen tuloksena arvonalentumistappiota ei tunnistettu ko</w:t>
      </w:r>
      <w:r w:rsidRPr="000B7B5D">
        <w:rPr>
          <w:color w:val="0F172B"/>
          <w:szCs w:val="15"/>
          <w:lang w:val="fi-FI"/>
        </w:rPr>
        <w:t>nsernin RTY:ille raportointikaudella, joka päättyi 30.6.2020.</w:t>
      </w:r>
    </w:p>
    <w:p w:rsidR="000B7B5D" w:rsidRPr="000B7B5D" w:rsidP="000B7B5D" w14:paraId="565E5128" w14:textId="77777777">
      <w:pPr>
        <w:pStyle w:val="Bodytext2"/>
        <w:rPr>
          <w:color w:val="0F172B"/>
          <w:szCs w:val="15"/>
          <w:lang w:val="fi-FI"/>
        </w:rPr>
      </w:pPr>
    </w:p>
    <w:p w:rsidR="000B7B5D" w:rsidRPr="00F653B2" w:rsidP="000B7B5D" w14:paraId="59AFD730" w14:textId="2E5F776D">
      <w:pPr>
        <w:pStyle w:val="Bodytext2"/>
        <w:rPr>
          <w:b/>
          <w:color w:val="000000"/>
          <w:szCs w:val="22"/>
          <w:lang w:val="fi-FI"/>
        </w:rPr>
      </w:pPr>
      <w:r w:rsidRPr="00F653B2">
        <w:rPr>
          <w:b/>
          <w:color w:val="000000"/>
          <w:szCs w:val="22"/>
          <w:lang w:val="fi-FI"/>
        </w:rPr>
        <w:t>Vuosittainen liikearvon arvonalentumistestaus</w:t>
      </w:r>
    </w:p>
    <w:p w:rsidR="000B7B5D" w:rsidRPr="004D3FBD" w:rsidP="000B7B5D" w14:paraId="1E7C3813" w14:textId="0619E14A">
      <w:pPr>
        <w:pStyle w:val="Bodytext2"/>
        <w:rPr>
          <w:color w:val="0F172B"/>
          <w:szCs w:val="15"/>
          <w:lang w:val="fi-FI"/>
        </w:rPr>
      </w:pPr>
      <w:r w:rsidRPr="004D3FBD">
        <w:rPr>
          <w:color w:val="0F172B"/>
          <w:szCs w:val="15"/>
          <w:lang w:val="fi-FI"/>
        </w:rPr>
        <w:t xml:space="preserve">Konserni teki vuosittaisen liikearvon arvonalentumistestauksen kolmannen kvartaalin aikana. Määrittääkseen sen, onko mitään viitteitä </w:t>
      </w:r>
      <w:r w:rsidRPr="004D3FBD">
        <w:rPr>
          <w:color w:val="0F172B"/>
          <w:szCs w:val="15"/>
          <w:lang w:val="fi-FI"/>
        </w:rPr>
        <w:t>liikearvon arvonalentumisesta, Wärtsilä vertasi kunkin liiketoimin</w:t>
      </w:r>
      <w:r>
        <w:rPr>
          <w:color w:val="0F172B"/>
          <w:szCs w:val="15"/>
          <w:lang w:val="fi-FI"/>
        </w:rPr>
        <w:t>nan</w:t>
      </w:r>
      <w:r w:rsidRPr="004D3FBD">
        <w:rPr>
          <w:color w:val="0F172B"/>
          <w:szCs w:val="15"/>
          <w:lang w:val="fi-FI"/>
        </w:rPr>
        <w:t xml:space="preserve"> kerrytettävissä olevaa rahamäärää sen kirjanpitoarvoon.</w:t>
      </w:r>
    </w:p>
    <w:p w:rsidR="000B7B5D" w:rsidRPr="004D3FBD" w:rsidP="000B7B5D" w14:paraId="1E7FE787" w14:textId="77777777">
      <w:pPr>
        <w:pStyle w:val="Bodytext2"/>
        <w:rPr>
          <w:color w:val="0F172B"/>
          <w:szCs w:val="15"/>
          <w:lang w:val="fi-FI"/>
        </w:rPr>
      </w:pPr>
    </w:p>
    <w:p w:rsidR="000B7B5D" w:rsidRPr="004D3FBD" w:rsidP="000B7B5D" w14:paraId="2BE1E97B" w14:textId="210A80B3">
      <w:pPr>
        <w:pStyle w:val="Bodytext2"/>
        <w:rPr>
          <w:color w:val="0F172B"/>
          <w:szCs w:val="15"/>
          <w:lang w:val="fi-FI"/>
        </w:rPr>
      </w:pPr>
      <w:r w:rsidRPr="004D3FBD">
        <w:rPr>
          <w:color w:val="0F172B"/>
          <w:szCs w:val="15"/>
          <w:lang w:val="fi-FI"/>
        </w:rPr>
        <w:t>Marine Powerille, Marine Systemsille, Voyageille ja Energylle kerrytettävissä olevat rahamäärät määritettiin diskontattujen rahavirtojen menetelmällä, joka perustuu tilauskantaan ja neljän vuoden ennakoituihin rahavirtoihin. Rahavirtaa tuottavien yksiköide</w:t>
      </w:r>
      <w:r w:rsidRPr="004D3FBD">
        <w:rPr>
          <w:color w:val="0F172B"/>
          <w:szCs w:val="15"/>
          <w:lang w:val="fi-FI"/>
        </w:rPr>
        <w:t>n ennakoidut rahavirrat perustuivat olemassa olevien aineellisten hyödykkeiden käyttämiseen niiden nykyisessä kunnossaan tavanomaisilla ylläpitokustannuksilla, pois lukien mahdolliset tulevat yrityshankinnat. Neljän vuoden ennustejakson jälkeen saatavat ra</w:t>
      </w:r>
      <w:r w:rsidRPr="004D3FBD">
        <w:rPr>
          <w:color w:val="0F172B"/>
          <w:szCs w:val="15"/>
          <w:lang w:val="fi-FI"/>
        </w:rPr>
        <w:t>havirrat on laskettu käyttäen loppuarvomenetelmää.</w:t>
      </w:r>
    </w:p>
    <w:p w:rsidR="000B7B5D" w:rsidRPr="004D3FBD" w:rsidP="000B7B5D" w14:paraId="14C6D972" w14:textId="77777777">
      <w:pPr>
        <w:pStyle w:val="Bodytext2"/>
        <w:rPr>
          <w:color w:val="0F172B"/>
          <w:szCs w:val="15"/>
          <w:lang w:val="fi-FI"/>
        </w:rPr>
      </w:pPr>
    </w:p>
    <w:p w:rsidR="000B7B5D" w:rsidRPr="004D3FBD" w:rsidP="000B7B5D" w14:paraId="2B90A203" w14:textId="3B9860E5">
      <w:pPr>
        <w:pStyle w:val="Bodytext2"/>
        <w:rPr>
          <w:color w:val="0F172B"/>
          <w:szCs w:val="15"/>
          <w:lang w:val="fi-FI"/>
        </w:rPr>
      </w:pPr>
      <w:r w:rsidRPr="004D3FBD">
        <w:rPr>
          <w:color w:val="0F172B"/>
          <w:szCs w:val="15"/>
          <w:lang w:val="fi-FI"/>
        </w:rPr>
        <w:t>Myytävänä oleviksi omaisuuseriksi luokitelluille Portfolio Businessin liiketoimintayksiköille kerrytettävissä oleva rahamäärä määritettiin perustuen arvioihin niiden yritysarvoista. Muille Portfolio Busin</w:t>
      </w:r>
      <w:r w:rsidRPr="004D3FBD">
        <w:rPr>
          <w:color w:val="0F172B"/>
          <w:szCs w:val="15"/>
          <w:lang w:val="fi-FI"/>
        </w:rPr>
        <w:t>essin liiketoimintayksiköille kerrytettävissä oleva rahamäärä määritettiin perustuen joko diskontattujen rahavirtojen menetelmään tai arvioihin yritysarvoista, kumpi näistä oli testaushetkellä korkeampi.</w:t>
      </w:r>
    </w:p>
    <w:p w:rsidR="000B7B5D" w:rsidRPr="004D3FBD" w:rsidP="000B7B5D" w14:paraId="66A41E63" w14:textId="77777777">
      <w:pPr>
        <w:pStyle w:val="Bodytext2"/>
        <w:rPr>
          <w:color w:val="0F172B"/>
          <w:szCs w:val="15"/>
          <w:lang w:val="fi-FI"/>
        </w:rPr>
      </w:pPr>
    </w:p>
    <w:p w:rsidR="000B7B5D" w:rsidRPr="00F653B2" w:rsidP="000B7B5D" w14:paraId="412E98E0" w14:textId="5E4EC3F5">
      <w:pPr>
        <w:pStyle w:val="Bodytext2"/>
        <w:rPr>
          <w:color w:val="0F172B"/>
          <w:szCs w:val="15"/>
          <w:lang w:val="fi-FI"/>
        </w:rPr>
      </w:pPr>
      <w:r w:rsidRPr="004D3FBD">
        <w:rPr>
          <w:color w:val="0F172B"/>
          <w:szCs w:val="15"/>
          <w:lang w:val="fi-FI"/>
        </w:rPr>
        <w:t>Loppuarvon kasvun määrittelemisessä on käytetty joh</w:t>
      </w:r>
      <w:r w:rsidRPr="004D3FBD">
        <w:rPr>
          <w:color w:val="0F172B"/>
          <w:szCs w:val="15"/>
          <w:lang w:val="fi-FI"/>
        </w:rPr>
        <w:t xml:space="preserve">don konservatiivista arviota kassavirran pitkän aikavälin kasvusta. </w:t>
      </w:r>
      <w:r w:rsidRPr="00F653B2">
        <w:rPr>
          <w:color w:val="0F172B"/>
          <w:szCs w:val="15"/>
          <w:lang w:val="fi-FI"/>
        </w:rPr>
        <w:t>Loppuarvon kasvutekijänä laskelmassa käytettiin seuraavia prosentteja:</w:t>
      </w:r>
    </w:p>
    <w:p w:rsidR="000B7B5D" w:rsidRPr="00F653B2" w:rsidP="000B7B5D" w14:paraId="33ABAC35" w14:textId="77777777">
      <w:pPr>
        <w:pStyle w:val="Bodytext2"/>
        <w:rPr>
          <w:color w:val="0F172B"/>
          <w:szCs w:val="15"/>
          <w:lang w:val="fi-FI"/>
        </w:rPr>
      </w:pPr>
    </w:p>
    <w:tbl>
      <w:tblPr>
        <w:tblStyle w:val="TableNormal"/>
        <w:tblCaption w:val="table_terminal_growth_rate_cur"/>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Loppuarvon kasvuvauhti, %</w:t>
            </w:r>
          </w:p>
        </w:tc>
        <w:tc>
          <w:tcPr>
            <w:tcW w:w="12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w:t>
            </w:r>
          </w:p>
        </w:tc>
      </w:tr>
    </w:tbl>
    <w:p w:rsidR="000B7B5D" w:rsidRPr="00F653B2" w:rsidP="000B7B5D" w14:paraId="2921F0F0" w14:textId="77777777">
      <w:pPr>
        <w:pStyle w:val="Bodytext2"/>
        <w:rPr>
          <w:color w:val="0F172B"/>
          <w:szCs w:val="15"/>
          <w:highlight w:val="yellow"/>
          <w:lang w:val="fi-FI"/>
        </w:rPr>
      </w:pPr>
    </w:p>
    <w:p w:rsidR="000B7B5D" w:rsidRPr="004D3FBD" w:rsidP="000B7B5D" w14:paraId="1624FC02" w14:textId="07A764FD">
      <w:pPr>
        <w:pStyle w:val="Bodytext2"/>
        <w:rPr>
          <w:color w:val="0F172B"/>
          <w:szCs w:val="15"/>
          <w:highlight w:val="yellow"/>
          <w:lang w:val="fi-FI"/>
        </w:rPr>
      </w:pPr>
      <w:r w:rsidRPr="004D3FBD">
        <w:rPr>
          <w:color w:val="0F172B"/>
          <w:szCs w:val="15"/>
          <w:lang w:val="fi-FI"/>
        </w:rPr>
        <w:t>Arvonmäärit</w:t>
      </w:r>
      <w:r w:rsidR="00BD7808">
        <w:rPr>
          <w:color w:val="0F172B"/>
          <w:szCs w:val="15"/>
          <w:lang w:val="fi-FI"/>
        </w:rPr>
        <w:t>yksessä</w:t>
      </w:r>
      <w:r w:rsidRPr="004D3FBD">
        <w:rPr>
          <w:color w:val="0F172B"/>
          <w:szCs w:val="15"/>
          <w:lang w:val="fi-FI"/>
        </w:rPr>
        <w:t xml:space="preserve"> avaintekijöitä ovat maailman talouden kasvu ja erityisesti g</w:t>
      </w:r>
      <w:r w:rsidRPr="004D3FBD">
        <w:rPr>
          <w:color w:val="0F172B"/>
          <w:szCs w:val="15"/>
          <w:lang w:val="fi-FI"/>
        </w:rPr>
        <w:t>lobaalien energiamarkkinoiden kehitys, globaali laivanrakennusteollisuus sekä niihin liittyvien palveluiden kysyntä. Markkinoiden kokonaiskustannusten arvioidun kehityksen nähdään vaikuttavan kannattavuustasoon, kun taas yksittäisten kuluerien hintakehityk</w:t>
      </w:r>
      <w:r w:rsidRPr="004D3FBD">
        <w:rPr>
          <w:color w:val="0F172B"/>
          <w:szCs w:val="15"/>
          <w:lang w:val="fi-FI"/>
        </w:rPr>
        <w:t>sellä ei ole olennaista merkitystä laskelmiin. Avaintekijä tuotteiden ja laitteiden uusmyynnin arvonmäärit</w:t>
      </w:r>
      <w:r w:rsidR="00BD7808">
        <w:rPr>
          <w:color w:val="0F172B"/>
          <w:szCs w:val="15"/>
          <w:lang w:val="fi-FI"/>
        </w:rPr>
        <w:t>yksessä</w:t>
      </w:r>
      <w:r w:rsidRPr="004D3FBD">
        <w:rPr>
          <w:color w:val="0F172B"/>
          <w:szCs w:val="15"/>
          <w:lang w:val="fi-FI"/>
        </w:rPr>
        <w:t xml:space="preserve"> on maailman talouden kasvu, kun taas avaintekijät </w:t>
      </w:r>
      <w:r w:rsidR="00BD7808">
        <w:rPr>
          <w:color w:val="0F172B"/>
          <w:szCs w:val="15"/>
          <w:lang w:val="fi-FI"/>
        </w:rPr>
        <w:t>palveluiden osalta</w:t>
      </w:r>
      <w:r w:rsidRPr="004D3FBD">
        <w:rPr>
          <w:color w:val="0F172B"/>
          <w:szCs w:val="15"/>
          <w:lang w:val="fi-FI"/>
        </w:rPr>
        <w:t xml:space="preserve"> liittyvät myös vastaavien palvelu</w:t>
      </w:r>
      <w:r w:rsidR="00BD7808">
        <w:rPr>
          <w:color w:val="0F172B"/>
          <w:szCs w:val="15"/>
          <w:lang w:val="fi-FI"/>
        </w:rPr>
        <w:t>iden</w:t>
      </w:r>
      <w:r w:rsidRPr="004D3FBD">
        <w:rPr>
          <w:color w:val="0F172B"/>
          <w:szCs w:val="15"/>
          <w:lang w:val="fi-FI"/>
        </w:rPr>
        <w:t xml:space="preserve"> kysyntään ja arvioihin työkustannus</w:t>
      </w:r>
      <w:r w:rsidRPr="004D3FBD">
        <w:rPr>
          <w:color w:val="0F172B"/>
          <w:szCs w:val="15"/>
          <w:lang w:val="fi-FI"/>
        </w:rPr>
        <w:t>ten kehityksestä markkinoilla.</w:t>
      </w:r>
    </w:p>
    <w:p w:rsidR="000B7B5D" w:rsidRPr="004D3FBD" w:rsidP="000B7B5D" w14:paraId="23E4A3E2" w14:textId="77777777">
      <w:pPr>
        <w:pStyle w:val="Bodytext2"/>
        <w:rPr>
          <w:color w:val="0F172B"/>
          <w:szCs w:val="15"/>
          <w:highlight w:val="yellow"/>
          <w:lang w:val="fi-FI"/>
        </w:rPr>
      </w:pPr>
    </w:p>
    <w:p w:rsidR="000B7B5D" w:rsidRPr="00F653B2" w:rsidP="000B7B5D" w14:paraId="156FCFB3" w14:textId="0A5BED1B">
      <w:pPr>
        <w:pStyle w:val="Bodytext2"/>
        <w:rPr>
          <w:color w:val="0F172B"/>
          <w:szCs w:val="15"/>
          <w:lang w:val="fi-FI"/>
        </w:rPr>
      </w:pPr>
      <w:r w:rsidRPr="004D3FBD">
        <w:rPr>
          <w:color w:val="0F172B"/>
          <w:szCs w:val="15"/>
          <w:lang w:val="fi-FI"/>
        </w:rPr>
        <w:t xml:space="preserve">Diskonttauskorkona käytetään Wärtsilän määrittelemää painotettua pääomakustannusta ennen veroja (WACC). WACC:n osatekijät ovat riskitön korko, markkinariskipreemio, teollisuuskohtainen beta, </w:t>
      </w:r>
      <w:r w:rsidRPr="004D3FBD">
        <w:rPr>
          <w:color w:val="0F172B"/>
          <w:szCs w:val="15"/>
          <w:lang w:val="fi-FI"/>
        </w:rPr>
        <w:t>lainakustannus sekä oman ja viera</w:t>
      </w:r>
      <w:r w:rsidRPr="004D3FBD">
        <w:rPr>
          <w:color w:val="0F172B"/>
          <w:szCs w:val="15"/>
          <w:lang w:val="fi-FI"/>
        </w:rPr>
        <w:t xml:space="preserve">an pääoman suhde. </w:t>
      </w:r>
      <w:r w:rsidRPr="00F653B2">
        <w:rPr>
          <w:color w:val="0F172B"/>
          <w:szCs w:val="15"/>
          <w:lang w:val="fi-FI"/>
        </w:rPr>
        <w:t>Wärtsilä on käyttänyt seuraavia WACC</w:t>
      </w:r>
      <w:r w:rsidR="009E0962">
        <w:rPr>
          <w:color w:val="0F172B"/>
          <w:szCs w:val="15"/>
          <w:lang w:val="fi-FI"/>
        </w:rPr>
        <w:t>-</w:t>
      </w:r>
      <w:r w:rsidRPr="00F653B2">
        <w:rPr>
          <w:color w:val="0F172B"/>
          <w:szCs w:val="15"/>
          <w:lang w:val="fi-FI"/>
        </w:rPr>
        <w:t>%:ja laskelmissaan:</w:t>
      </w:r>
    </w:p>
    <w:p w:rsidR="000B7B5D" w:rsidRPr="00F653B2" w:rsidP="000B7B5D" w14:paraId="7D7FBB26" w14:textId="77777777">
      <w:pPr>
        <w:pStyle w:val="Bodytext2"/>
        <w:rPr>
          <w:color w:val="0F172B"/>
          <w:szCs w:val="15"/>
          <w:lang w:val="fi-FI"/>
        </w:rPr>
      </w:pPr>
    </w:p>
    <w:tbl>
      <w:tblPr>
        <w:tblStyle w:val="TableNormal"/>
        <w:tblCaption w:val="table_WACC_rate_cur"/>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Painotettu pääomakustannus (WACC), %</w:t>
            </w:r>
          </w:p>
        </w:tc>
        <w:tc>
          <w:tcPr>
            <w:tcW w:w="12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Power</w:t>
            </w: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Marine Systems</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Voyage</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Energy</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25"/>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Portfolio Business</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10,1</w:t>
            </w:r>
          </w:p>
        </w:tc>
      </w:tr>
    </w:tbl>
    <w:p w:rsidR="000B7B5D" w:rsidRPr="004D3FBD" w:rsidP="00C5455A" w14:paraId="13B02A23" w14:textId="77777777">
      <w:pPr>
        <w:pStyle w:val="Bodytext2"/>
        <w:rPr>
          <w:lang w:val="fi-FI"/>
        </w:rPr>
      </w:pPr>
    </w:p>
    <w:p w:rsidR="000B7B5D" w:rsidRPr="004D3FBD" w:rsidP="00C5455A" w14:paraId="684D2D5F" w14:textId="1A02A79F">
      <w:pPr>
        <w:pStyle w:val="Bodytext2"/>
        <w:rPr>
          <w:lang w:val="fi-FI"/>
        </w:rPr>
      </w:pPr>
      <w:r w:rsidRPr="004D3FBD">
        <w:rPr>
          <w:lang w:val="fi-FI"/>
        </w:rPr>
        <w:t xml:space="preserve">Arvonalentumistestauksen tuloksena arvonalentumistappiota ei tunnistettu rahavirtaa tuottaville yksiköille raportointikaudella, joka päättyi </w:t>
      </w:r>
      <w:r w:rsidRPr="004D3FBD">
        <w:rPr>
          <w:lang w:val="fi-FI"/>
        </w:rPr>
        <w:t>30.9.2020. Kerrytettävissä oleva rahamäärä RTY:ille Marine Power, Marine Systems ja Energy ylitti huomattavasti kunkin kirjanpitoarvon.</w:t>
      </w:r>
    </w:p>
    <w:p w:rsidR="000B7B5D" w:rsidRPr="004D3FBD" w:rsidP="00C5455A" w14:paraId="73D2793D" w14:textId="77777777">
      <w:pPr>
        <w:pStyle w:val="Bodytext2"/>
        <w:rPr>
          <w:lang w:val="fi-FI"/>
        </w:rPr>
      </w:pPr>
    </w:p>
    <w:p w:rsidR="000B7B5D" w:rsidRPr="004D3FBD" w:rsidP="00C5455A" w14:paraId="6C82104B" w14:textId="4D87C5F8">
      <w:pPr>
        <w:pStyle w:val="Bodytext2"/>
        <w:rPr>
          <w:lang w:val="fi-FI"/>
        </w:rPr>
      </w:pPr>
      <w:r w:rsidRPr="004D3FBD">
        <w:rPr>
          <w:lang w:val="fi-FI"/>
        </w:rPr>
        <w:t>Myös rahavirtaa tuottavalle yksikölle Voyage määritettiin kerrytettävissä oleva rahamäärä, joka ylitti sen kirjanpitoar</w:t>
      </w:r>
      <w:r w:rsidRPr="004D3FBD">
        <w:rPr>
          <w:lang w:val="fi-FI"/>
        </w:rPr>
        <w:t>von. Pääasialliset oletukset Voyageen liityen ovat, että sen EBITDA:n arvioidaan saavuttavan nollatason muutaman seuraavan vuoden sisällä, ja että sen kasvuvauhti tulee ylittämään konsernin keskiarvon. Epäsuotuisat muutokset näihin olettamiin aiheuttaisiva</w:t>
      </w:r>
      <w:r w:rsidRPr="004D3FBD">
        <w:rPr>
          <w:lang w:val="fi-FI"/>
        </w:rPr>
        <w:t>t negatiivisen vaikutuksen liiketoiminnan arvostamiseen.</w:t>
      </w:r>
    </w:p>
    <w:p w:rsidR="000B7B5D" w:rsidRPr="004D3FBD" w:rsidP="00C5455A" w14:paraId="54B80641" w14:textId="77777777">
      <w:pPr>
        <w:pStyle w:val="Bodytext2"/>
        <w:rPr>
          <w:lang w:val="fi-FI"/>
        </w:rPr>
      </w:pPr>
    </w:p>
    <w:p w:rsidR="00F653B2" w:rsidP="00C5455A" w14:paraId="5F26DDAA" w14:textId="032E57FE">
      <w:pPr>
        <w:pStyle w:val="Bodytext2"/>
        <w:rPr>
          <w:lang w:val="fi-FI"/>
        </w:rPr>
      </w:pPr>
      <w:r>
        <w:rPr>
          <w:lang w:val="fi-FI"/>
        </w:rPr>
        <w:t xml:space="preserve">Myytävänä olevien omaisuuserien arvostamiseen liittyvien vaatimusten </w:t>
      </w:r>
      <w:r w:rsidR="000E0CC0">
        <w:rPr>
          <w:lang w:val="fi-FI"/>
        </w:rPr>
        <w:t>mu</w:t>
      </w:r>
      <w:r>
        <w:rPr>
          <w:lang w:val="fi-FI"/>
        </w:rPr>
        <w:t xml:space="preserve">kaisesti Wärtsilä on </w:t>
      </w:r>
      <w:r w:rsidR="000E0CC0">
        <w:rPr>
          <w:lang w:val="fi-FI"/>
        </w:rPr>
        <w:t>v</w:t>
      </w:r>
      <w:r w:rsidRPr="00F653B2" w:rsidR="00B3546F">
        <w:rPr>
          <w:lang w:val="fi-FI"/>
        </w:rPr>
        <w:t>uonna 2020 kirjannut alas Porfolio Busine</w:t>
      </w:r>
      <w:r w:rsidR="009E0962">
        <w:rPr>
          <w:lang w:val="fi-FI"/>
        </w:rPr>
        <w:t>ssiin</w:t>
      </w:r>
      <w:r w:rsidRPr="00F653B2" w:rsidR="00B3546F">
        <w:rPr>
          <w:lang w:val="fi-FI"/>
        </w:rPr>
        <w:t xml:space="preserve"> liittyviä varoja. Osa varojen alaskirjauksista liittyi liikearvoon. Vuosittaisen liikearvon arvonalentumistestauksen perusteella ei kuitenkaan havaittu tarvetta ylimääräisille arvonalentumiskirjauksille Portolio Businessin osalta.</w:t>
      </w:r>
    </w:p>
    <w:p w:rsidR="00B3546F" w:rsidP="00C5455A" w14:paraId="23F26173" w14:textId="249138C5">
      <w:pPr>
        <w:pStyle w:val="Bodytext2"/>
        <w:rPr>
          <w:lang w:val="fi-FI"/>
        </w:rPr>
      </w:pPr>
    </w:p>
    <w:p w:rsidR="00B3546F" w:rsidRPr="00E15F68" w:rsidP="00C5455A" w14:paraId="723BACB0" w14:textId="27DF503C">
      <w:pPr>
        <w:pStyle w:val="Bodytext2"/>
        <w:rPr>
          <w:sz w:val="2"/>
          <w:szCs w:val="2"/>
          <w:lang w:val="fi-FI"/>
        </w:rPr>
      </w:pPr>
      <w:r w:rsidRPr="00B3546F">
        <w:rPr>
          <w:lang w:val="fi-FI"/>
        </w:rPr>
        <w:t>Vuosittaisen liikearvon arvonalentumistestauksen jälkeen ei ole ilmennyt uusia vii</w:t>
      </w:r>
      <w:r w:rsidRPr="00B3546F">
        <w:rPr>
          <w:lang w:val="fi-FI"/>
        </w:rPr>
        <w:t>tteitä liikearvon arvonalentumisesta.</w:t>
      </w:r>
      <w:r>
        <w:rPr>
          <w:lang w:val="fi-FI"/>
        </w:rPr>
        <w:br w:type="column"/>
      </w:r>
    </w:p>
    <w:p w:rsidR="000B7B5D" w:rsidRPr="004D3FBD" w:rsidP="000B7B5D" w14:paraId="73B8AD45" w14:textId="1F2BE999">
      <w:pPr>
        <w:pStyle w:val="Heading13"/>
        <w:rPr>
          <w:lang w:val="fi-FI"/>
        </w:rPr>
      </w:pPr>
      <w:r w:rsidRPr="004D3FBD">
        <w:rPr>
          <w:lang w:val="fi-FI"/>
        </w:rPr>
        <w:t>Herkkyysanalyysi</w:t>
      </w:r>
    </w:p>
    <w:p w:rsidR="00C57E4F" w:rsidRPr="003A305C" w:rsidP="00C57E4F" w14:paraId="539F5A23" w14:textId="77777777">
      <w:pPr>
        <w:pStyle w:val="Bodytext2"/>
        <w:rPr>
          <w:lang w:val="fi-FI"/>
        </w:rPr>
      </w:pPr>
      <w:r w:rsidRPr="003A305C">
        <w:rPr>
          <w:lang w:val="fi-FI"/>
        </w:rPr>
        <w:t>Johto on arvioinut, ettei mikään muutos keskeisissä oletuksissa saisi aikaan tilannetta, jossa yhdenkään rahavirtaa tuottavan yksikön kirjanpitoarvo ylittäisi sen kerrytettävissä olevan rahamäärän. Ra</w:t>
      </w:r>
      <w:r w:rsidRPr="003A305C">
        <w:rPr>
          <w:lang w:val="fi-FI"/>
        </w:rPr>
        <w:t>havirtaa tuottaville yksiköille on tehty herkkyysanalyysi muuttamalla laskentaoletuksia. Alla olevassa taulukossa on esitetty vaadittava muutos oletuksessa, jolla kerrytettävissä olevan rahamäärän arvo vastaisi kirjanpitoarvoa.</w:t>
      </w:r>
      <w:r w:rsidRPr="003A305C" w:rsidR="0051591B">
        <w:rPr>
          <w:lang w:val="fi-FI"/>
        </w:rPr>
        <w:t xml:space="preserve"> </w:t>
      </w:r>
    </w:p>
    <w:p w:rsidR="000B7B5D" w:rsidRPr="003A305C" w:rsidP="00C57E4F" w14:paraId="2D129CD2" w14:textId="77777777">
      <w:pPr>
        <w:pStyle w:val="Bodytext2"/>
        <w:rPr>
          <w:lang w:val="fi-FI"/>
        </w:rPr>
      </w:pPr>
    </w:p>
    <w:tbl>
      <w:tblPr>
        <w:tblStyle w:val="TableNormal"/>
        <w:tblCaption w:val="table_sensitivity_analysis_cur"/>
        <w:tblW w:w="7365" w:type="dxa"/>
        <w:tblLayout w:type="fixed"/>
        <w:tblLook w:val="0600"/>
      </w:tblPr>
      <w:tblGrid>
        <w:gridCol w:w="2265"/>
        <w:gridCol w:w="5100"/>
      </w:tblGrid>
      <w:tr>
        <w:tblPrEx>
          <w:tblW w:w="7365" w:type="dxa"/>
          <w:tblLayout w:type="fixed"/>
          <w:tblLook w:val="0600"/>
        </w:tblPrEx>
        <w:trPr>
          <w:trHeight w:val="240"/>
        </w:trPr>
        <w:tc>
          <w:tcPr>
            <w:tcW w:w="226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510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Muutos</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 Power</w:t>
            </w:r>
          </w:p>
        </w:tc>
        <w:tc>
          <w:tcPr>
            <w:tcW w:w="510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 ennen veroja</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yli 8 prosenttiyksikköä</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Loppuarvon kasvuvauhti</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8 prosenttiyksikköä</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Kannattavuus</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51 prosenttia</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51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Marine Systems</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 ennen veroja</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yli 25 prosenttiyksikköä</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Loppuarvon kasvuvauhti</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34 prosenttiyksikköä</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Kannattavuus</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72 prosenttia</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51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Voyage</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 ennen veroja</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yli 4 prosenttiyksikköä</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Loppuarvon kasvuvauhti</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3 prosenttiyksikköä</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Kannattavuus</w:t>
            </w:r>
          </w:p>
        </w:tc>
        <w:tc>
          <w:tcPr>
            <w:tcW w:w="510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37 prosenttia</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51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Energy</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 ennen veroja</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yli 12 prosenttiyksikköä</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Loppuarvon kasvuvauhti</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13 prosenttiyksikköä</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Kannattavuus</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61 prosenttia</w:t>
            </w:r>
          </w:p>
        </w:tc>
      </w:tr>
    </w:tbl>
    <w:p w:rsidR="000B7B5D" w:rsidP="000B7B5D" w14:paraId="12E3AC61" w14:textId="77777777">
      <w:pPr>
        <w:pStyle w:val="Bodytext2"/>
        <w:rPr>
          <w:color w:val="0F172B"/>
          <w:szCs w:val="15"/>
        </w:rPr>
      </w:pPr>
    </w:p>
    <w:p w:rsidR="000B7B5D" w:rsidRPr="004D3FBD" w:rsidP="000B7B5D" w14:paraId="4358C215" w14:textId="674EB737">
      <w:pPr>
        <w:pStyle w:val="Bodytext2"/>
        <w:rPr>
          <w:color w:val="0F172B"/>
          <w:szCs w:val="15"/>
          <w:lang w:val="fi-FI"/>
        </w:rPr>
      </w:pPr>
      <w:r w:rsidRPr="004D3FBD">
        <w:rPr>
          <w:color w:val="0F172B"/>
          <w:szCs w:val="15"/>
          <w:lang w:val="fi-FI"/>
        </w:rPr>
        <w:t xml:space="preserve">Portfolio Businessin liiketoimintayksiköille kerrytettävissä oleva rahamäärä määritettiin enimmäkseen perustuen arvioihin niiden yritysarvoista. Täten diskonttokoron ja loppuarvon kasvuvauhdin mahdollisella muutoksella on vain hyvin </w:t>
      </w:r>
      <w:r w:rsidRPr="004D3FBD">
        <w:rPr>
          <w:color w:val="0F172B"/>
          <w:szCs w:val="15"/>
          <w:lang w:val="fi-FI"/>
        </w:rPr>
        <w:t>vähäinen vaikutus rahavirtaa tuottavan yksikön arvostukseen. Rahavirtaa tuottavan yksikön kerrytettävissä oleva rahamäärä</w:t>
      </w:r>
      <w:r w:rsidR="00AA294D">
        <w:rPr>
          <w:color w:val="0F172B"/>
          <w:szCs w:val="15"/>
          <w:lang w:val="fi-FI"/>
        </w:rPr>
        <w:t>n</w:t>
      </w:r>
      <w:r w:rsidRPr="004D3FBD">
        <w:rPr>
          <w:color w:val="0F172B"/>
          <w:szCs w:val="15"/>
          <w:lang w:val="fi-FI"/>
        </w:rPr>
        <w:t xml:space="preserve"> tulisi laskea 9</w:t>
      </w:r>
      <w:r>
        <w:rPr>
          <w:color w:val="0F172B"/>
          <w:szCs w:val="15"/>
          <w:lang w:val="fi-FI"/>
        </w:rPr>
        <w:t>%</w:t>
      </w:r>
      <w:r w:rsidRPr="004D3FBD">
        <w:rPr>
          <w:color w:val="0F172B"/>
          <w:szCs w:val="15"/>
          <w:lang w:val="fi-FI"/>
        </w:rPr>
        <w:t>, jotta se vastaisi yksikön kirjanpitoarvoa.</w:t>
      </w:r>
    </w:p>
    <w:p w:rsidR="000B7B5D" w:rsidRPr="004D3FBD" w:rsidP="000B7B5D" w14:paraId="3F1A65FD" w14:textId="77777777">
      <w:pPr>
        <w:pStyle w:val="Bodytext2"/>
        <w:rPr>
          <w:color w:val="0F172B"/>
          <w:szCs w:val="15"/>
          <w:highlight w:val="yellow"/>
          <w:lang w:val="fi-FI"/>
        </w:rPr>
      </w:pPr>
    </w:p>
    <w:p w:rsidR="000B7B5D" w:rsidRPr="00C5455A" w:rsidP="000B7B5D" w14:paraId="72C763E3" w14:textId="7AF7553B">
      <w:pPr>
        <w:pStyle w:val="Bodytext2"/>
        <w:rPr>
          <w:color w:val="0F172B"/>
          <w:sz w:val="2"/>
          <w:szCs w:val="2"/>
          <w:lang w:val="fi-FI"/>
        </w:rPr>
      </w:pPr>
      <w:r w:rsidRPr="004D3FBD">
        <w:rPr>
          <w:color w:val="0F172B"/>
          <w:szCs w:val="15"/>
          <w:lang w:val="fi-FI"/>
        </w:rPr>
        <w:t xml:space="preserve">Johdon näkemyksen mukaan perusoletusten muutoksia ei tule tulkita osoituksena niiden toteutumisen todennäköisyydestä. </w:t>
      </w:r>
      <w:r w:rsidRPr="008F4E76">
        <w:rPr>
          <w:color w:val="0F172B"/>
          <w:szCs w:val="15"/>
          <w:lang w:val="fi-FI"/>
        </w:rPr>
        <w:t>Herkkyysanalyysit ovat hypoteettisia ja siksi niihin tulee suhtautua varauksella.</w:t>
      </w:r>
      <w:r>
        <w:rPr>
          <w:color w:val="0F172B"/>
          <w:szCs w:val="15"/>
          <w:lang w:val="fi-FI"/>
        </w:rPr>
        <w:br w:type="column"/>
      </w:r>
    </w:p>
    <w:p w:rsidR="000B7B5D" w:rsidRPr="008F4E76" w:rsidP="000B7B5D" w14:paraId="24FDE64D" w14:textId="73E61850">
      <w:pPr>
        <w:pStyle w:val="Heading13"/>
        <w:rPr>
          <w:lang w:val="fi-FI"/>
        </w:rPr>
      </w:pPr>
      <w:r w:rsidRPr="008F4E76">
        <w:rPr>
          <w:lang w:val="fi-FI"/>
        </w:rPr>
        <w:t>Liikearvo 2019</w:t>
      </w:r>
    </w:p>
    <w:p w:rsidR="000B7B5D" w:rsidRPr="008F4E76" w:rsidP="000B7B5D" w14:paraId="3B78E599" w14:textId="77777777">
      <w:pPr>
        <w:pStyle w:val="Bodytext2"/>
        <w:rPr>
          <w:color w:val="0F172B"/>
          <w:szCs w:val="15"/>
          <w:lang w:val="fi-FI"/>
        </w:rPr>
      </w:pPr>
    </w:p>
    <w:tbl>
      <w:tblPr>
        <w:tblStyle w:val="TableNormal"/>
        <w:tblCaption w:val="table_goodwill_previous"/>
        <w:tblW w:w="7350" w:type="dxa"/>
        <w:tblLayout w:type="fixed"/>
        <w:tblLook w:val="0600"/>
      </w:tblPr>
      <w:tblGrid>
        <w:gridCol w:w="4860"/>
        <w:gridCol w:w="1245"/>
        <w:gridCol w:w="1245"/>
      </w:tblGrid>
      <w:tr>
        <w:tblPrEx>
          <w:tblW w:w="7350" w:type="dxa"/>
          <w:tblLayout w:type="fixed"/>
          <w:tblLook w:val="0600"/>
        </w:tblPrEx>
        <w:trPr>
          <w:trHeight w:hRule="exact" w:val="240"/>
        </w:trPr>
        <w:tc>
          <w:tcPr>
            <w:tcW w:w="610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Wärtsilä-konserni</w:t>
            </w:r>
          </w:p>
        </w:tc>
        <w:tc>
          <w:tcPr>
            <w:tcW w:w="124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1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1.1.</w:t>
            </w:r>
          </w:p>
        </w:tc>
        <w:tc>
          <w:tcPr>
            <w:tcW w:w="124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1 355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1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Yrityshankinnat</w:t>
            </w:r>
          </w:p>
        </w:tc>
        <w:tc>
          <w:tcPr>
            <w:tcW w:w="124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1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Muutokset valuuttakursseissa</w:t>
            </w:r>
          </w:p>
        </w:tc>
        <w:tc>
          <w:tcPr>
            <w:tcW w:w="124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105" w:type="dxa"/>
            <w:gridSpan w:val="2"/>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1 380</w:t>
            </w:r>
          </w:p>
        </w:tc>
      </w:tr>
    </w:tbl>
    <w:p w:rsidR="000B7B5D" w:rsidRPr="00F653B2" w:rsidP="000B7B5D" w14:paraId="15AB8D03" w14:textId="77777777">
      <w:pPr>
        <w:pStyle w:val="Bodytext2"/>
        <w:rPr>
          <w:color w:val="0F172B"/>
          <w:szCs w:val="15"/>
          <w:lang w:val="fi-FI"/>
        </w:rPr>
      </w:pPr>
    </w:p>
    <w:p w:rsidR="000B7B5D" w:rsidRPr="005C4DFE" w:rsidP="000B7B5D" w14:paraId="714D639C" w14:textId="40B57E15">
      <w:pPr>
        <w:pStyle w:val="Heading13"/>
        <w:rPr>
          <w:lang w:val="fi-FI"/>
        </w:rPr>
      </w:pPr>
      <w:r w:rsidRPr="005C4DFE">
        <w:rPr>
          <w:lang w:val="fi-FI"/>
        </w:rPr>
        <w:t>Liikearvo</w:t>
      </w:r>
      <w:r w:rsidRPr="005C4DFE">
        <w:rPr>
          <w:lang w:val="fi-FI"/>
        </w:rPr>
        <w:t>n kohdistaminen</w:t>
      </w:r>
    </w:p>
    <w:p w:rsidR="000B7B5D" w:rsidRPr="005C4DFE" w:rsidP="000B7B5D" w14:paraId="40F3485D" w14:textId="7944A7B8">
      <w:pPr>
        <w:pStyle w:val="Bodytext2"/>
        <w:rPr>
          <w:color w:val="0F172B"/>
          <w:szCs w:val="15"/>
          <w:lang w:val="fi-FI"/>
        </w:rPr>
      </w:pPr>
      <w:r w:rsidRPr="005C4DFE">
        <w:rPr>
          <w:color w:val="0F172B"/>
          <w:szCs w:val="15"/>
          <w:lang w:val="fi-FI"/>
        </w:rPr>
        <w:t>Yrityshankinnoissa syntyvä liikearvo kohdistetaan rahavirtaa tuottaville yksiköille (RTY), jotka ovat konsernin toimintasegmentit Wärtsilä Marine -liiketoiminta ja Wärtsilä Energy -liiketoiminta. Aikaisemmin konsernin rahavirtayksikölle koh</w:t>
      </w:r>
      <w:r w:rsidRPr="005C4DFE">
        <w:rPr>
          <w:color w:val="0F172B"/>
          <w:szCs w:val="15"/>
          <w:lang w:val="fi-FI"/>
        </w:rPr>
        <w:t>distettu liikearvo on 1.1.2019 alkaen kohdistettu vastaaville rahavirtayksiköille operatiivisten segmenttien käyvän arvon perusteella. Toimintasegmentti on alin taso, jolla konserni seuraa liikearvoa. Tilikauden aikana hankittujen yritysten liikearvo kohdi</w:t>
      </w:r>
      <w:r w:rsidRPr="005C4DFE">
        <w:rPr>
          <w:color w:val="0F172B"/>
          <w:szCs w:val="15"/>
          <w:lang w:val="fi-FI"/>
        </w:rPr>
        <w:t>stetaan konsernin RTY:lle hankintapäivänä. Liikearvon kohdentaminen per rahavirtaa tuottava yksikkö on esitetty alla olevan taulukon mukaisesti.</w:t>
      </w:r>
    </w:p>
    <w:p w:rsidR="000B7B5D" w:rsidRPr="005C4DFE" w:rsidP="000B7B5D" w14:paraId="502BF8D1" w14:textId="77777777">
      <w:pPr>
        <w:pStyle w:val="Bodytext2"/>
        <w:rPr>
          <w:color w:val="0F172B"/>
          <w:szCs w:val="15"/>
          <w:lang w:val="fi-FI"/>
        </w:rPr>
      </w:pPr>
    </w:p>
    <w:p w:rsidR="000B7B5D" w:rsidRPr="005C4DFE" w:rsidP="000B7B5D" w14:paraId="41F54C62" w14:textId="119F6923">
      <w:pPr>
        <w:pStyle w:val="Heading13"/>
        <w:rPr>
          <w:lang w:val="fi-FI"/>
        </w:rPr>
      </w:pPr>
      <w:r w:rsidRPr="005C4DFE">
        <w:rPr>
          <w:lang w:val="fi-FI"/>
        </w:rPr>
        <w:t>Liikearvo per rahavirtaa tuottava yksikkö</w:t>
      </w:r>
    </w:p>
    <w:p w:rsidR="000B7B5D" w:rsidRPr="005C4DFE" w:rsidP="000B7B5D" w14:paraId="7A801900" w14:textId="77777777">
      <w:pPr>
        <w:pStyle w:val="Bodytext2"/>
        <w:rPr>
          <w:color w:val="0F172B"/>
          <w:szCs w:val="15"/>
          <w:lang w:val="fi-FI"/>
        </w:rPr>
      </w:pPr>
    </w:p>
    <w:tbl>
      <w:tblPr>
        <w:tblStyle w:val="TableNormal"/>
        <w:tblCaption w:val="table_goodwill_cgu_previous"/>
        <w:tblW w:w="7350" w:type="dxa"/>
        <w:tblLayout w:type="fixed"/>
        <w:tblLook w:val="0600"/>
      </w:tblPr>
      <w:tblGrid>
        <w:gridCol w:w="4860"/>
        <w:gridCol w:w="1245"/>
        <w:gridCol w:w="1245"/>
      </w:tblGrid>
      <w:tr>
        <w:tblPrEx>
          <w:tblW w:w="7350" w:type="dxa"/>
          <w:tblLayout w:type="fixed"/>
          <w:tblLook w:val="0600"/>
        </w:tblPrEx>
        <w:trPr>
          <w:trHeight w:hRule="exact" w:val="240"/>
        </w:trPr>
        <w:tc>
          <w:tcPr>
            <w:tcW w:w="610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105" w:type="dxa"/>
            <w:gridSpan w:val="2"/>
            <w:tcBorders>
              <w:top w:val="single" w:sz="8" w:space="0" w:color="0F172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Marine -liiketoiminta</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1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Energy -liiketoiminta</w:t>
            </w:r>
          </w:p>
        </w:tc>
        <w:tc>
          <w:tcPr>
            <w:tcW w:w="124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1 380</w:t>
            </w:r>
          </w:p>
        </w:tc>
      </w:tr>
    </w:tbl>
    <w:p w:rsidR="000B7B5D" w:rsidRPr="00F653B2" w:rsidP="000B7B5D" w14:paraId="42BCB5BF" w14:textId="77777777">
      <w:pPr>
        <w:pStyle w:val="Bodytext2"/>
        <w:rPr>
          <w:color w:val="0F172B"/>
          <w:szCs w:val="15"/>
          <w:lang w:val="fi-FI"/>
        </w:rPr>
      </w:pPr>
    </w:p>
    <w:p w:rsidR="000B7B5D" w:rsidRPr="00D12F56" w:rsidP="000B7B5D" w14:paraId="5C953D26" w14:textId="0B16D87B">
      <w:pPr>
        <w:pStyle w:val="Heading13"/>
        <w:rPr>
          <w:lang w:val="fi-FI"/>
        </w:rPr>
      </w:pPr>
      <w:r w:rsidRPr="00D12F56">
        <w:rPr>
          <w:lang w:val="fi-FI"/>
        </w:rPr>
        <w:t xml:space="preserve">Liikearvon </w:t>
      </w:r>
      <w:r w:rsidRPr="00D12F56">
        <w:rPr>
          <w:lang w:val="fi-FI"/>
        </w:rPr>
        <w:t>arvonalentumistestaus</w:t>
      </w:r>
    </w:p>
    <w:p w:rsidR="00D12F56" w:rsidP="00D12F56" w14:paraId="0788B2E2" w14:textId="76F511DC">
      <w:pPr>
        <w:pStyle w:val="Bodytext2"/>
        <w:rPr>
          <w:color w:val="0F172B"/>
          <w:szCs w:val="15"/>
          <w:lang w:val="fi-FI"/>
        </w:rPr>
      </w:pPr>
      <w:r w:rsidRPr="00D12F56">
        <w:rPr>
          <w:color w:val="0F172B"/>
          <w:szCs w:val="15"/>
          <w:lang w:val="fi-FI"/>
        </w:rPr>
        <w:t>Konserni tekee liikearvon arvonalentumistestauksen vuosittain 30.9., tai kun esiintyy viitteitä, että kerrytettävissä oleva rahamäärä saattaa olla alle kirjanpitoarvon.</w:t>
      </w:r>
    </w:p>
    <w:p w:rsidR="00D12F56" w:rsidRPr="00D12F56" w:rsidP="00D12F56" w14:paraId="32BB0F3F" w14:textId="77777777">
      <w:pPr>
        <w:pStyle w:val="Bodytext2"/>
        <w:rPr>
          <w:color w:val="0F172B"/>
          <w:szCs w:val="15"/>
          <w:lang w:val="fi-FI"/>
        </w:rPr>
      </w:pPr>
    </w:p>
    <w:p w:rsidR="00D12F56" w:rsidRPr="00D12F56" w:rsidP="00D12F56" w14:paraId="224344F2" w14:textId="77777777">
      <w:pPr>
        <w:pStyle w:val="Bodytext2"/>
        <w:rPr>
          <w:color w:val="0F172B"/>
          <w:szCs w:val="15"/>
          <w:lang w:val="fi-FI"/>
        </w:rPr>
      </w:pPr>
      <w:r w:rsidRPr="00D12F56">
        <w:rPr>
          <w:color w:val="0F172B"/>
          <w:szCs w:val="15"/>
          <w:lang w:val="fi-FI"/>
        </w:rPr>
        <w:t>Rahavirtaa tuottavien yksiköiden kerrytettävissä olevan rahamäär</w:t>
      </w:r>
      <w:r w:rsidRPr="00D12F56">
        <w:rPr>
          <w:color w:val="0F172B"/>
          <w:szCs w:val="15"/>
          <w:lang w:val="fi-FI"/>
        </w:rPr>
        <w:t>än arvo perustuu käyttöarvolaskelmaan. RTY:n käyttöarvo määritellään nykyisen tilauskannan ja johdon hyväksymien strategisten suunnitelmien mukaisten tulevan viiden vuoden kassavirtojen diskontatulla nykyarvomenetelmällä. Yksiköiden arvioitu rahavirta peru</w:t>
      </w:r>
      <w:r w:rsidRPr="00D12F56">
        <w:rPr>
          <w:color w:val="0F172B"/>
          <w:szCs w:val="15"/>
          <w:lang w:val="fi-FI"/>
        </w:rPr>
        <w:t>stuu kiinteistön, tehtaan ja välineistön käyttöön niiden nykyisessä kunnossa normaaleilla ylläpitoinvestoinneilla ilman mahdollisia tulevaisuuden yrityshankintoja. Rahavirrat, jotka ulottuvat viiden vuoden ennustejakson jälkeiselle ajalle, on laskettu käyt</w:t>
      </w:r>
      <w:r w:rsidRPr="00D12F56">
        <w:rPr>
          <w:color w:val="0F172B"/>
          <w:szCs w:val="15"/>
          <w:lang w:val="fi-FI"/>
        </w:rPr>
        <w:t>täen ns. loppuarvomenetelmää. Loppuarvon kasvun määrittelemisessä on käytetty johdon konservatiivista arvioita kassavirran pitkän aikavälin kasvusta. Loppuarvon kasvutekijänä on käytetty 2%:n vuotuista kasvua.</w:t>
      </w:r>
    </w:p>
    <w:p w:rsidR="00D12F56" w:rsidRPr="00D12F56" w:rsidP="00D12F56" w14:paraId="09B8BE46" w14:textId="119D5A52">
      <w:pPr>
        <w:pStyle w:val="Bodytext2"/>
        <w:rPr>
          <w:color w:val="0F172B"/>
          <w:szCs w:val="15"/>
          <w:lang w:val="fi-FI"/>
        </w:rPr>
      </w:pPr>
    </w:p>
    <w:p w:rsidR="00D12F56" w:rsidRPr="00D12F56" w:rsidP="00D12F56" w14:paraId="0F684C6A" w14:textId="77777777">
      <w:pPr>
        <w:pStyle w:val="Bodytext2"/>
        <w:rPr>
          <w:color w:val="0F172B"/>
          <w:szCs w:val="15"/>
          <w:lang w:val="fi-FI"/>
        </w:rPr>
      </w:pPr>
      <w:r w:rsidRPr="00D12F56">
        <w:rPr>
          <w:color w:val="0F172B"/>
          <w:szCs w:val="15"/>
          <w:lang w:val="fi-FI"/>
        </w:rPr>
        <w:t>Arvonmäärittelemisessä avaintekijöitä ovat ma</w:t>
      </w:r>
      <w:r w:rsidRPr="00D12F56">
        <w:rPr>
          <w:color w:val="0F172B"/>
          <w:szCs w:val="15"/>
          <w:lang w:val="fi-FI"/>
        </w:rPr>
        <w:t>ailman talouden kasvu ja erityisesti globaalien energiamarkkinoiden kehitys, globaali laivanrakennusteollisuus sekä niihin liittyvien palveluiden kysyntä. Markkinoiden kokonaiskustannusten arvioidun kehityksen nähdään vaikuttavan kannattavuustasoon, kun ta</w:t>
      </w:r>
      <w:r w:rsidRPr="00D12F56">
        <w:rPr>
          <w:color w:val="0F172B"/>
          <w:szCs w:val="15"/>
          <w:lang w:val="fi-FI"/>
        </w:rPr>
        <w:t>as yksittäisten kuluerien hintakehityksellä ei ole olennaista merkitystä laskelmiin. Avaintekijä tuotteiden ja laitteiden uusmyynnin arvonmäärittelemisessä on maailman talouden kasvu, kun taas avaintekijät huoltotoiminnoissa liittyvät myös vastaavien palve</w:t>
      </w:r>
      <w:r w:rsidRPr="00D12F56">
        <w:rPr>
          <w:color w:val="0F172B"/>
          <w:szCs w:val="15"/>
          <w:lang w:val="fi-FI"/>
        </w:rPr>
        <w:t>lujen kysyntään ja arvioihin työkustannusten kehityksestä markkinoilla.</w:t>
      </w:r>
    </w:p>
    <w:p w:rsidR="00D12F56" w:rsidRPr="00D12F56" w:rsidP="00D12F56" w14:paraId="2F482ED7" w14:textId="2E8E0304">
      <w:pPr>
        <w:pStyle w:val="Bodytext2"/>
        <w:rPr>
          <w:color w:val="0F172B"/>
          <w:szCs w:val="15"/>
          <w:lang w:val="fi-FI"/>
        </w:rPr>
      </w:pPr>
    </w:p>
    <w:p w:rsidR="00D12F56" w:rsidRPr="00D12F56" w:rsidP="00D12F56" w14:paraId="7F39A7A6" w14:textId="586A19F7">
      <w:pPr>
        <w:pStyle w:val="Bodytext2"/>
        <w:rPr>
          <w:color w:val="0F172B"/>
          <w:szCs w:val="15"/>
          <w:lang w:val="fi-FI"/>
        </w:rPr>
      </w:pPr>
      <w:r w:rsidRPr="00D12F56">
        <w:rPr>
          <w:color w:val="0F172B"/>
          <w:szCs w:val="15"/>
          <w:lang w:val="fi-FI"/>
        </w:rPr>
        <w:t>Diskonttauskorkona käytetään Wärtsilän määrittelemää painotettua pääomakustannusta ennen veroja (WACC). WACC:n osatekijät ovat riskitön korko, markkinariskipreemio, teollisuuskohtaine</w:t>
      </w:r>
      <w:r w:rsidRPr="00D12F56">
        <w:rPr>
          <w:color w:val="0F172B"/>
          <w:szCs w:val="15"/>
          <w:lang w:val="fi-FI"/>
        </w:rPr>
        <w:t xml:space="preserve">n beta, </w:t>
      </w:r>
      <w:r w:rsidRPr="00D12F56">
        <w:rPr>
          <w:color w:val="0F172B"/>
          <w:szCs w:val="15"/>
          <w:lang w:val="fi-FI"/>
        </w:rPr>
        <w:t>lainakustannus sekä oman ja vieraan pääoman suhde. Wärtsilä on käyttänyt 9,1%:n WACC:a Wärtsilä Marine -liiketoiminnan RTY:n osalta ja 9,4%:n WACC:a Wärtsilä Energy -liiketoiminnan RTY:n osalta laskelmissaan.</w:t>
      </w:r>
    </w:p>
    <w:p w:rsidR="00D12F56" w:rsidRPr="00D12F56" w:rsidP="00D12F56" w14:paraId="61E17853" w14:textId="424E07F6">
      <w:pPr>
        <w:pStyle w:val="Bodytext2"/>
        <w:rPr>
          <w:color w:val="0F172B"/>
          <w:szCs w:val="15"/>
          <w:lang w:val="fi-FI"/>
        </w:rPr>
      </w:pPr>
    </w:p>
    <w:p w:rsidR="000B7B5D" w:rsidRPr="00D12F56" w:rsidP="00D12F56" w14:paraId="73D6DC0E" w14:textId="21D1ED15">
      <w:pPr>
        <w:pStyle w:val="Bodytext2"/>
        <w:rPr>
          <w:color w:val="0F172B"/>
          <w:szCs w:val="15"/>
          <w:lang w:val="fi-FI"/>
        </w:rPr>
      </w:pPr>
      <w:r w:rsidRPr="00D12F56">
        <w:rPr>
          <w:color w:val="0F172B"/>
          <w:szCs w:val="15"/>
          <w:lang w:val="fi-FI"/>
        </w:rPr>
        <w:t>Liikearvon testauksen tuloksena liikea</w:t>
      </w:r>
      <w:r w:rsidRPr="00D12F56">
        <w:rPr>
          <w:color w:val="0F172B"/>
          <w:szCs w:val="15"/>
          <w:lang w:val="fi-FI"/>
        </w:rPr>
        <w:t>rvontestaustappiota ei tunnistettu konsernin RTY:lle tilikaudella, joka päättyi 31.12.2019. Konsernin molempien RTY:en kerrytettävissä oleva rahamäärä ylitti niiden kirjanpitoarvon merkittävästi.</w:t>
      </w:r>
    </w:p>
    <w:p w:rsidR="000B7B5D" w:rsidRPr="00D12F56" w:rsidP="000B7B5D" w14:paraId="14C4F016" w14:textId="77777777">
      <w:pPr>
        <w:pStyle w:val="Bodytext2"/>
        <w:rPr>
          <w:color w:val="0F172B"/>
          <w:szCs w:val="15"/>
          <w:lang w:val="fi-FI"/>
        </w:rPr>
      </w:pPr>
    </w:p>
    <w:p w:rsidR="000B7B5D" w:rsidRPr="00D12F56" w:rsidP="000B7B5D" w14:paraId="623B3E27" w14:textId="192A71F8">
      <w:pPr>
        <w:pStyle w:val="Heading13"/>
        <w:rPr>
          <w:lang w:val="fi-FI"/>
        </w:rPr>
      </w:pPr>
      <w:r w:rsidRPr="00D12F56">
        <w:rPr>
          <w:lang w:val="fi-FI"/>
        </w:rPr>
        <w:t>Herkkyysanalyysi</w:t>
      </w:r>
    </w:p>
    <w:p w:rsidR="000B7B5D" w:rsidRPr="00D12F56" w:rsidP="000B7B5D" w14:paraId="15CC46EC" w14:textId="544667FF">
      <w:pPr>
        <w:pStyle w:val="Bodytext2"/>
        <w:rPr>
          <w:color w:val="0F172B"/>
          <w:szCs w:val="15"/>
          <w:lang w:val="fi-FI"/>
        </w:rPr>
      </w:pPr>
      <w:r w:rsidRPr="00D12F56">
        <w:rPr>
          <w:color w:val="0F172B"/>
          <w:szCs w:val="15"/>
          <w:lang w:val="fi-FI"/>
        </w:rPr>
        <w:t>Johto on arvioinut, ettei mikään muutos ke</w:t>
      </w:r>
      <w:r w:rsidRPr="00D12F56">
        <w:rPr>
          <w:color w:val="0F172B"/>
          <w:szCs w:val="15"/>
          <w:lang w:val="fi-FI"/>
        </w:rPr>
        <w:t>skeisissä oletuksissa saisi aikaan tilannetta, jossa kummankaan rahavirtaa tuottavan yksikön kirjanpitoarvo ylittäisi sen kerrytettävissä olevan rahamäärän. Rahavirtaa tuottaville yksiköille on tehty herkkyysanalyysi muuttamalla laskentaoletuksia. Alla ole</w:t>
      </w:r>
      <w:r w:rsidRPr="00D12F56">
        <w:rPr>
          <w:color w:val="0F172B"/>
          <w:szCs w:val="15"/>
          <w:lang w:val="fi-FI"/>
        </w:rPr>
        <w:t>vassa taulukossa on esitetty vaadittava muutos oletuksessa, jolla kerrytettävissä olevan rahamäärän arvo vastaisi kirjanpitoarvoa.</w:t>
      </w:r>
    </w:p>
    <w:p w:rsidR="000B7B5D" w:rsidRPr="00D12F56" w:rsidP="000B7B5D" w14:paraId="58C97CA9" w14:textId="77777777">
      <w:pPr>
        <w:pStyle w:val="Bodytext2"/>
        <w:rPr>
          <w:color w:val="0F172B"/>
          <w:szCs w:val="15"/>
          <w:lang w:val="fi-FI"/>
        </w:rPr>
      </w:pPr>
    </w:p>
    <w:tbl>
      <w:tblPr>
        <w:tblStyle w:val="TableNormal"/>
        <w:tblCaption w:val="table_goodwill_sensitivity_previous"/>
        <w:tblW w:w="7365" w:type="dxa"/>
        <w:tblLayout w:type="fixed"/>
        <w:tblLook w:val="0600"/>
      </w:tblPr>
      <w:tblGrid>
        <w:gridCol w:w="2265"/>
        <w:gridCol w:w="5100"/>
      </w:tblGrid>
      <w:tr>
        <w:tblPrEx>
          <w:tblW w:w="7365" w:type="dxa"/>
          <w:tblLayout w:type="fixed"/>
          <w:tblLook w:val="0600"/>
        </w:tblPrEx>
        <w:trPr>
          <w:trHeight w:val="240"/>
        </w:trPr>
        <w:tc>
          <w:tcPr>
            <w:tcW w:w="226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510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Muutos</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Marine -liiketoiminta</w:t>
            </w:r>
          </w:p>
        </w:tc>
        <w:tc>
          <w:tcPr>
            <w:tcW w:w="510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 ennen veroja</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yli 15 prosenttiyksikköä</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Loppuarvon kasvuvauhti</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35 prosenttiyksikköä</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Kannattavuus</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66 prosenttia</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51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Wärtsilä Energy -liiketoiminta</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 ennen veroja</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yli 13 prosenttiyksikköä</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Loppuarvon kasvuvauhti</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28 prosenttiyksikköä</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25"/>
        </w:trPr>
        <w:tc>
          <w:tcPr>
            <w:tcW w:w="22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Kannattavuus</w:t>
            </w:r>
          </w:p>
        </w:tc>
        <w:tc>
          <w:tcPr>
            <w:tcW w:w="510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yli 64 prosenttia</w:t>
            </w:r>
          </w:p>
        </w:tc>
      </w:tr>
    </w:tbl>
    <w:p w:rsidR="000B7B5D" w:rsidP="000B7B5D" w14:paraId="20E43BFE" w14:textId="77777777">
      <w:pPr>
        <w:pStyle w:val="Bodytext2"/>
        <w:rPr>
          <w:color w:val="0F172B"/>
          <w:szCs w:val="15"/>
        </w:rPr>
      </w:pPr>
    </w:p>
    <w:p w:rsidR="004A0DF2" w:rsidRPr="00495B11" w:rsidP="002642EE" w14:textId="04B4DA66">
      <w:pPr>
        <w:pStyle w:val="Bodytext2"/>
        <w:rPr>
          <w:sz w:val="2"/>
          <w:szCs w:val="2"/>
        </w:rPr>
      </w:pPr>
      <w:r w:rsidRPr="00D12F56">
        <w:rPr>
          <w:color w:val="0F172B"/>
          <w:szCs w:val="15"/>
          <w:lang w:val="fi-FI"/>
        </w:rPr>
        <w:t xml:space="preserve">Johdon näkemyksen mukaan perusoletusten muutoksia ei tule tulkita osoituksena niiden toteutumisen todennäköisyydestä. </w:t>
      </w:r>
      <w:r w:rsidRPr="00D12F56">
        <w:rPr>
          <w:color w:val="0F172B"/>
          <w:szCs w:val="15"/>
        </w:rPr>
        <w:t>Herkkyysanalyysit ovat hypoteettisia ja siksi niihin tulee suhtautua varauksella</w:t>
      </w:r>
      <w:r w:rsidR="000B7B5D">
        <w:rPr>
          <w:color w:val="0F172B"/>
          <w:szCs w:val="15"/>
        </w:rPr>
        <w:t>.</w:t>
      </w:r>
      <w:r>
        <w:rPr>
          <w:color w:val="0F172B"/>
          <w:szCs w:val="15"/>
        </w:rPr>
        <w:br w:type="column"/>
      </w:r>
    </w:p>
    <w:p w:rsidR="00714335" w:rsidP="00714335" w14:paraId="478860AB" w14:textId="52DEDB3E">
      <w:pPr>
        <w:pStyle w:val="Heading12"/>
      </w:pPr>
      <w:bookmarkStart w:id="1132" w:name="RG_MARKER_4719"/>
      <w:r>
        <w:t>3.2. MUUT AINEETTOMAT HYÖDYKKEET</w:t>
      </w:r>
      <w:bookmarkEnd w:id="1132"/>
    </w:p>
    <w:tbl>
      <w:tblPr>
        <w:tblStyle w:val="TableGrid"/>
        <w:tblW w:w="7371" w:type="dxa"/>
        <w:tblLook w:val="04A0"/>
      </w:tblPr>
      <w:tblGrid>
        <w:gridCol w:w="7371"/>
      </w:tblGrid>
      <w:tr w14:paraId="2731B6E4" w14:textId="77777777" w:rsidTr="00714335">
        <w:tblPrEx>
          <w:tblW w:w="7371" w:type="dxa"/>
          <w:tblLook w:val="04A0"/>
        </w:tblPrEx>
        <w:tc>
          <w:tcPr>
            <w:tcW w:w="7371" w:type="dxa"/>
            <w:tcBorders>
              <w:top w:val="nil"/>
              <w:left w:val="nil"/>
              <w:bottom w:val="nil"/>
              <w:right w:val="nil"/>
            </w:tcBorders>
            <w:shd w:val="clear" w:color="auto" w:fill="B6C8D1"/>
          </w:tcPr>
          <w:p w:rsidR="00714335" w:rsidRPr="00714335" w:rsidP="00714335" w14:paraId="55F1552A" w14:textId="27381879">
            <w:pPr>
              <w:pStyle w:val="Heading13"/>
              <w:rPr>
                <w:lang w:val="fi-FI"/>
              </w:rPr>
            </w:pPr>
            <w:r w:rsidRPr="00714335">
              <w:rPr>
                <w:lang w:val="fi-FI"/>
              </w:rPr>
              <w:t>Laadintaperiaatteet</w:t>
            </w:r>
          </w:p>
          <w:p w:rsidR="00714335" w:rsidRPr="00FC20B2" w:rsidP="00714335" w14:paraId="2381EAFB" w14:textId="77777777">
            <w:pPr>
              <w:pStyle w:val="Heading13"/>
              <w:rPr>
                <w:lang w:val="fi-FI"/>
              </w:rPr>
            </w:pPr>
            <w:r w:rsidRPr="00FC20B2">
              <w:rPr>
                <w:lang w:val="fi-FI"/>
              </w:rPr>
              <w:t>Tutkimus- ja kehittämismenot</w:t>
            </w:r>
          </w:p>
          <w:p w:rsidR="00714335" w:rsidP="00714335" w14:paraId="4A206205" w14:textId="35781CF0">
            <w:pPr>
              <w:pStyle w:val="Bodytext2"/>
              <w:rPr>
                <w:lang w:val="fi-FI"/>
              </w:rPr>
            </w:pPr>
            <w:r w:rsidRPr="00714335">
              <w:rPr>
                <w:lang w:val="fi-FI"/>
              </w:rPr>
              <w:t xml:space="preserve">Tutkimusmenot kirjataan sen </w:t>
            </w:r>
            <w:r>
              <w:rPr>
                <w:lang w:val="fi-FI"/>
              </w:rPr>
              <w:t>raportointi</w:t>
            </w:r>
            <w:r w:rsidRPr="00714335">
              <w:rPr>
                <w:lang w:val="fi-FI"/>
              </w:rPr>
              <w:t xml:space="preserve">kauden kuluksi, jonka aikana ne syntyvät. Kehittämismenot aktivoidaan silloin, kun on todennäköistä, että </w:t>
            </w:r>
            <w:r w:rsidRPr="00714335">
              <w:rPr>
                <w:lang w:val="fi-FI"/>
              </w:rPr>
              <w:t>kehitysprojekti tuottaa konsernille taloudellista hyötyä tulevaisuudessa ja täyttää kirjaamiskriteerit, mukaan lukien tekninen ja taloudellinen käyttökelpoisuus. Tällaiset projektit liittyvät uusien tai olennaisesti parannettujen tuotteiden tai tuotantopro</w:t>
            </w:r>
            <w:r w:rsidRPr="00714335">
              <w:rPr>
                <w:lang w:val="fi-FI"/>
              </w:rPr>
              <w:t>sessien kehittämiseen. Aiemmin kuluiksi kirjattuja kehittämismenoja ei aktivoida enää myöhemmin.</w:t>
            </w:r>
          </w:p>
          <w:p w:rsidR="00714335" w:rsidRPr="00714335" w:rsidP="00714335" w14:paraId="784D16DB" w14:textId="77777777">
            <w:pPr>
              <w:pStyle w:val="Bodytext2"/>
              <w:rPr>
                <w:lang w:val="fi-FI"/>
              </w:rPr>
            </w:pPr>
          </w:p>
          <w:p w:rsidR="00714335" w:rsidRPr="00FC20B2" w:rsidP="00714335" w14:paraId="2D802BD0" w14:textId="4072BAC8">
            <w:pPr>
              <w:pStyle w:val="Bodytext2"/>
              <w:rPr>
                <w:lang w:val="fi-FI"/>
              </w:rPr>
            </w:pPr>
            <w:r w:rsidRPr="00714335">
              <w:rPr>
                <w:lang w:val="fi-FI"/>
              </w:rPr>
              <w:t>Aktivoidut kehittämismenot arvostetaan alkuperäisen kirjaamisen jälkeen hankintamenoon kertyneillä poistoilla ja arvonalentumistappioilla vähennettyinä. Aktiv</w:t>
            </w:r>
            <w:r w:rsidRPr="00714335">
              <w:rPr>
                <w:lang w:val="fi-FI"/>
              </w:rPr>
              <w:t>oidut kehittämismenot sekä kehitystoiminnan koneet ja laitteet kirjataan tasapoistoina kuluiksi vaikutusaikanaan, joka on 5–10 vuotta. Poistojen kirjaaminen aloitetaan, kun omaisuuserä on valmis käytettäväksi. Aineeton hyödyke, joka ei ole vielä valmis käy</w:t>
            </w:r>
            <w:r w:rsidRPr="00714335">
              <w:rPr>
                <w:lang w:val="fi-FI"/>
              </w:rPr>
              <w:t xml:space="preserve">tettäväksi, testataan vuosittain arvonalentumisen varalta. Tutkimus- ja kehitystoimintaan saadut julkiset avustukset kirjataan liiketoiminnan muihin tuottoihin. </w:t>
            </w:r>
            <w:r w:rsidRPr="00FC20B2">
              <w:rPr>
                <w:lang w:val="fi-FI"/>
              </w:rPr>
              <w:t>Aktivoituihin tuotekehitysmenoihin liittyvät tuet netotetaan hankintamenoon.</w:t>
            </w:r>
          </w:p>
          <w:p w:rsidR="00714335" w:rsidRPr="00FC20B2" w:rsidP="00714335" w14:paraId="0C7461CD" w14:textId="54E822C8">
            <w:pPr>
              <w:pStyle w:val="Bodytext2"/>
              <w:rPr>
                <w:rFonts w:eastAsiaTheme="minorEastAsia"/>
                <w:lang w:val="fi-FI" w:eastAsia="fi-FI"/>
              </w:rPr>
            </w:pPr>
          </w:p>
          <w:p w:rsidR="00714335" w:rsidRPr="00714335" w:rsidP="00714335" w14:paraId="2E1AF8BB" w14:textId="77777777">
            <w:pPr>
              <w:pStyle w:val="Heading13"/>
              <w:rPr>
                <w:lang w:val="fi-FI" w:eastAsia="fi-FI"/>
              </w:rPr>
            </w:pPr>
            <w:r w:rsidRPr="00714335">
              <w:rPr>
                <w:lang w:val="fi-FI" w:eastAsia="fi-FI"/>
              </w:rPr>
              <w:t xml:space="preserve">Muut aineettomat </w:t>
            </w:r>
            <w:r w:rsidRPr="00714335">
              <w:rPr>
                <w:lang w:val="fi-FI" w:eastAsia="fi-FI"/>
              </w:rPr>
              <w:t>hyödykkeet</w:t>
            </w:r>
          </w:p>
          <w:p w:rsidR="00714335" w:rsidP="00714335" w14:paraId="5BC4F9C1" w14:textId="0C25E2C1">
            <w:pPr>
              <w:pStyle w:val="Bodytext2"/>
              <w:rPr>
                <w:rFonts w:eastAsiaTheme="minorEastAsia"/>
                <w:lang w:val="fi-FI" w:eastAsia="fi-FI"/>
              </w:rPr>
            </w:pPr>
            <w:r w:rsidRPr="00714335">
              <w:rPr>
                <w:rFonts w:eastAsiaTheme="minorEastAsia"/>
                <w:lang w:val="fi-FI" w:eastAsia="fi-FI"/>
              </w:rPr>
              <w:t>Aineeton hyödyke merkitään taseeseen alun perin hankintamenoon siinä tapauksessa, että hankintameno on määritettävissä luotettavasti, ja on todennäköistä, että omaisuuserästä johtuva odotettavissa oleva taloudellinen hyöty koituu konsernin hyväk</w:t>
            </w:r>
            <w:r w:rsidRPr="00714335">
              <w:rPr>
                <w:rFonts w:eastAsiaTheme="minorEastAsia"/>
                <w:lang w:val="fi-FI" w:eastAsia="fi-FI"/>
              </w:rPr>
              <w:t>si. Wärtsilän muita aineettomia hyödykkeitä ovat patentit, lisenssit, ohjelmistot, asiakassuhteet ja muut siirrettävissä olevat teollisoikeudet. Nämä arvostetaan hankintamenoon, poikkeuksena liiketoimintojen yhdistämisissä hankitut yksilöidyt aineettomat h</w:t>
            </w:r>
            <w:r w:rsidRPr="00714335">
              <w:rPr>
                <w:rFonts w:eastAsiaTheme="minorEastAsia"/>
                <w:lang w:val="fi-FI" w:eastAsia="fi-FI"/>
              </w:rPr>
              <w:t>yödykkeet, jotka arvostetaan käypään arvoon hankintahetkellä. Hankintameno muodostuu ostohinnasta ja kaikista niistä menoista, jotka välittömästi johtuvat hyödykkeen saattamisesta valmiiksi käyttötarkoitustaan varten.</w:t>
            </w:r>
          </w:p>
          <w:p w:rsidR="00714335" w:rsidRPr="00714335" w:rsidP="00714335" w14:paraId="2478CAC0" w14:textId="77777777">
            <w:pPr>
              <w:pStyle w:val="Bodytext2"/>
              <w:rPr>
                <w:rFonts w:eastAsiaTheme="minorEastAsia"/>
                <w:lang w:val="fi-FI" w:eastAsia="fi-FI"/>
              </w:rPr>
            </w:pPr>
          </w:p>
          <w:p w:rsidR="00714335" w:rsidP="00714335" w14:paraId="2EAE372B" w14:textId="4906E9E9">
            <w:pPr>
              <w:pStyle w:val="Bodytext2"/>
              <w:rPr>
                <w:rFonts w:eastAsiaTheme="minorEastAsia"/>
                <w:lang w:val="fi-FI" w:eastAsia="fi-FI"/>
              </w:rPr>
            </w:pPr>
            <w:r w:rsidRPr="00714335">
              <w:rPr>
                <w:rFonts w:eastAsiaTheme="minorEastAsia"/>
                <w:lang w:val="fi-FI" w:eastAsia="fi-FI"/>
              </w:rPr>
              <w:t>Muut aineettomat hyödykkeet kirjataan</w:t>
            </w:r>
            <w:r w:rsidRPr="00714335">
              <w:rPr>
                <w:rFonts w:eastAsiaTheme="minorEastAsia"/>
                <w:lang w:val="fi-FI" w:eastAsia="fi-FI"/>
              </w:rPr>
              <w:t xml:space="preserve"> tasapoistoina kuluiksi niiden tunnetun tai arvioidun taloudellisen vaikutusajan kuluessa. Määräaikaan sidotuista aineettomista hyödykkeistä kirjataan poistot sopimuskauden kuluessa. Liiketoimintojen yhdistämisissä hankitut yksilöidyt aineettomat hyödykkee</w:t>
            </w:r>
            <w:r w:rsidRPr="00714335">
              <w:rPr>
                <w:rFonts w:eastAsiaTheme="minorEastAsia"/>
                <w:lang w:val="fi-FI" w:eastAsia="fi-FI"/>
              </w:rPr>
              <w:t>t poistetaan niiden oletetun toimitusajan tai taloudellisen vaikutusajan kuluessa.</w:t>
            </w:r>
          </w:p>
          <w:p w:rsidR="00714335" w:rsidRPr="00714335" w:rsidP="00714335" w14:paraId="29487865" w14:textId="77777777">
            <w:pPr>
              <w:pStyle w:val="Bodytext2"/>
              <w:rPr>
                <w:rFonts w:eastAsiaTheme="minorEastAsia"/>
                <w:lang w:val="fi-FI" w:eastAsia="fi-FI"/>
              </w:rPr>
            </w:pPr>
          </w:p>
          <w:p w:rsidR="00714335" w:rsidRPr="00714335" w:rsidP="00714335" w14:paraId="6C874AE1" w14:textId="77777777">
            <w:pPr>
              <w:pStyle w:val="Bodytext2"/>
              <w:rPr>
                <w:rFonts w:eastAsiaTheme="minorEastAsia"/>
                <w:lang w:val="fi-FI" w:eastAsia="fi-FI"/>
              </w:rPr>
            </w:pPr>
            <w:r w:rsidRPr="00714335">
              <w:rPr>
                <w:rFonts w:eastAsiaTheme="minorEastAsia"/>
                <w:lang w:val="fi-FI" w:eastAsia="fi-FI"/>
              </w:rPr>
              <w:t>Muiden aineettomien hyödykkeiden ohjeelliset poistoajat ovat:</w:t>
            </w:r>
          </w:p>
          <w:p w:rsidR="00714335" w:rsidRPr="00714335" w:rsidP="00714335" w14:paraId="1D5086E9" w14:textId="0DD03B7B">
            <w:pPr>
              <w:pStyle w:val="Bodytext2"/>
              <w:rPr>
                <w:rFonts w:eastAsiaTheme="minorEastAsia"/>
                <w:lang w:val="fi-FI" w:eastAsia="fi-FI"/>
              </w:rPr>
            </w:pPr>
            <w:r w:rsidRPr="00714335">
              <w:rPr>
                <w:rFonts w:eastAsiaTheme="minorEastAsia"/>
                <w:lang w:val="fi-FI" w:eastAsia="fi-FI"/>
              </w:rPr>
              <w:t>•</w:t>
            </w:r>
            <w:r>
              <w:rPr>
                <w:rFonts w:eastAsiaTheme="minorEastAsia"/>
                <w:lang w:val="fi-FI" w:eastAsia="fi-FI"/>
              </w:rPr>
              <w:t xml:space="preserve"> </w:t>
            </w:r>
            <w:r w:rsidRPr="00714335">
              <w:rPr>
                <w:rFonts w:eastAsiaTheme="minorEastAsia"/>
                <w:lang w:val="fi-FI" w:eastAsia="fi-FI"/>
              </w:rPr>
              <w:t>ohjelmistot 3–7 vuotta</w:t>
            </w:r>
          </w:p>
          <w:p w:rsidR="00714335" w:rsidRPr="00714335" w:rsidP="00714335" w14:paraId="35546526" w14:textId="2B6ABB5D">
            <w:pPr>
              <w:pStyle w:val="Bodytext2"/>
              <w:rPr>
                <w:rFonts w:eastAsiaTheme="minorEastAsia"/>
                <w:lang w:val="fi-FI" w:eastAsia="fi-FI"/>
              </w:rPr>
            </w:pPr>
            <w:r w:rsidRPr="00714335">
              <w:rPr>
                <w:rFonts w:eastAsiaTheme="minorEastAsia"/>
                <w:lang w:val="fi-FI" w:eastAsia="fi-FI"/>
              </w:rPr>
              <w:t>•</w:t>
            </w:r>
            <w:r>
              <w:rPr>
                <w:rFonts w:eastAsiaTheme="minorEastAsia"/>
                <w:lang w:val="fi-FI" w:eastAsia="fi-FI"/>
              </w:rPr>
              <w:t xml:space="preserve"> </w:t>
            </w:r>
            <w:r w:rsidRPr="00714335">
              <w:rPr>
                <w:rFonts w:eastAsiaTheme="minorEastAsia"/>
                <w:lang w:val="fi-FI" w:eastAsia="fi-FI"/>
              </w:rPr>
              <w:t>tutkimus- ja kehittämismenot 5–10 vuotta</w:t>
            </w:r>
          </w:p>
          <w:p w:rsidR="00714335" w:rsidP="00714335" w14:paraId="01B927BE" w14:textId="089D8447">
            <w:pPr>
              <w:pStyle w:val="Bodytext2"/>
              <w:rPr>
                <w:rFonts w:eastAsiaTheme="minorEastAsia"/>
                <w:lang w:val="fi-FI" w:eastAsia="fi-FI"/>
              </w:rPr>
            </w:pPr>
            <w:r w:rsidRPr="00714335">
              <w:rPr>
                <w:rFonts w:eastAsiaTheme="minorEastAsia"/>
                <w:lang w:val="fi-FI" w:eastAsia="fi-FI"/>
              </w:rPr>
              <w:t>•</w:t>
            </w:r>
            <w:r>
              <w:rPr>
                <w:rFonts w:eastAsiaTheme="minorEastAsia"/>
                <w:lang w:val="fi-FI" w:eastAsia="fi-FI"/>
              </w:rPr>
              <w:t xml:space="preserve"> </w:t>
            </w:r>
            <w:r w:rsidRPr="00714335">
              <w:rPr>
                <w:rFonts w:eastAsiaTheme="minorEastAsia"/>
                <w:lang w:val="fi-FI" w:eastAsia="fi-FI"/>
              </w:rPr>
              <w:t>muut aineettomat hyödykkeet 5–20 vuotta.</w:t>
            </w:r>
          </w:p>
          <w:p w:rsidR="00714335" w:rsidRPr="00714335" w:rsidP="00714335" w14:paraId="1DE85D2E" w14:textId="77777777">
            <w:pPr>
              <w:pStyle w:val="Bodytext2"/>
              <w:rPr>
                <w:rFonts w:eastAsiaTheme="minorEastAsia"/>
                <w:lang w:val="fi-FI" w:eastAsia="fi-FI"/>
              </w:rPr>
            </w:pPr>
          </w:p>
          <w:p w:rsidR="00714335" w:rsidP="00714335" w14:paraId="37365BB2" w14:textId="460172EB">
            <w:pPr>
              <w:pStyle w:val="Bodytext2"/>
              <w:rPr>
                <w:rFonts w:eastAsiaTheme="minorEastAsia"/>
                <w:lang w:val="fi-FI" w:eastAsia="fi-FI"/>
              </w:rPr>
            </w:pPr>
            <w:r w:rsidRPr="00714335">
              <w:rPr>
                <w:rFonts w:eastAsiaTheme="minorEastAsia"/>
                <w:lang w:val="fi-FI" w:eastAsia="fi-FI"/>
              </w:rPr>
              <w:t>Hankintamenon jaksotukset on lopetettava, kun omaisuuserä luokitellaan myytävänä olevaksi.</w:t>
            </w:r>
          </w:p>
          <w:p w:rsidR="00714335" w:rsidRPr="00714335" w:rsidP="00714335" w14:paraId="40A27C69" w14:textId="77777777">
            <w:pPr>
              <w:pStyle w:val="Bodytext2"/>
              <w:rPr>
                <w:rFonts w:eastAsiaTheme="minorEastAsia"/>
                <w:lang w:val="fi-FI" w:eastAsia="fi-FI"/>
              </w:rPr>
            </w:pPr>
          </w:p>
          <w:p w:rsidR="00714335" w:rsidRPr="00714335" w:rsidP="00714335" w14:paraId="688B2A18" w14:textId="3B6893EF">
            <w:pPr>
              <w:pStyle w:val="Bodytext2"/>
              <w:rPr>
                <w:rFonts w:eastAsiaTheme="minorEastAsia"/>
                <w:lang w:val="fi-FI" w:eastAsia="fi-FI"/>
              </w:rPr>
            </w:pPr>
            <w:r w:rsidRPr="00714335">
              <w:rPr>
                <w:rFonts w:eastAsiaTheme="minorEastAsia"/>
                <w:lang w:val="fi-FI" w:eastAsia="fi-FI"/>
              </w:rPr>
              <w:t>Aineettomien hyödykkeiden luovutuksista syntyvät voitot tai tappiot sisältyvät liiketoiminnan muihin tuottoihin tai liiketoiminnan muihin kuluihin.</w:t>
            </w:r>
          </w:p>
          <w:p w:rsidR="00714335" w:rsidRPr="00FC20B2" w14:paraId="2E305E3E" w14:textId="77777777">
            <w:pPr>
              <w:pStyle w:val="Bodytext2"/>
              <w:rPr>
                <w:rFonts w:eastAsiaTheme="minorEastAsia"/>
                <w:lang w:val="fi-FI" w:eastAsia="fi-FI"/>
              </w:rPr>
            </w:pPr>
          </w:p>
          <w:p w:rsidR="00714335" w:rsidRPr="00714335" w:rsidP="00714335" w14:paraId="74D18668" w14:textId="77777777">
            <w:pPr>
              <w:pStyle w:val="Heading13"/>
              <w:rPr>
                <w:lang w:val="fi-FI"/>
              </w:rPr>
            </w:pPr>
            <w:r w:rsidRPr="00714335">
              <w:rPr>
                <w:lang w:val="fi-FI"/>
              </w:rPr>
              <w:t>Omaisuuserien</w:t>
            </w:r>
            <w:r w:rsidRPr="00714335">
              <w:rPr>
                <w:lang w:val="fi-FI"/>
              </w:rPr>
              <w:t xml:space="preserve"> arvonalentumiset</w:t>
            </w:r>
          </w:p>
          <w:p w:rsidR="00714335" w:rsidP="00714335" w14:paraId="251E43D6" w14:textId="38770179">
            <w:pPr>
              <w:pStyle w:val="Bodytext2"/>
              <w:rPr>
                <w:lang w:val="fi-FI"/>
              </w:rPr>
            </w:pPr>
            <w:r w:rsidRPr="00714335">
              <w:rPr>
                <w:lang w:val="fi-FI"/>
              </w:rPr>
              <w:t>Omaisuuserien tasearvoa tarkastellaan vähintään vuosittain tai useammin, jos arvonalentumisesta on viitteitä. Jos viitteitä ilmenee, arvioidaan kyseisestä omaisuuserästä kerrytettävissä oleva rahamäärä, jota verrataan omaisuuserän kirjanp</w:t>
            </w:r>
            <w:r w:rsidRPr="00714335">
              <w:rPr>
                <w:lang w:val="fi-FI"/>
              </w:rPr>
              <w:t>itoarvoon. Arvonalentumistappio kirjataan, kun omaisuuserän kirjanpitoarvo ylittää siitä kerrytettävissä olevan rahamäärän. Kerrytettävissä oleva rahamäärä on omaisuuserän käypä arvo vähennettynä myynnistä aiheutuvilla menoilla tai käyttöarvo sen mukaan, k</w:t>
            </w:r>
            <w:r w:rsidRPr="00714335">
              <w:rPr>
                <w:lang w:val="fi-FI"/>
              </w:rPr>
              <w:t>umpi niistä on suurempi.</w:t>
            </w:r>
          </w:p>
          <w:p w:rsidR="00714335" w:rsidRPr="00714335" w:rsidP="00714335" w14:paraId="48805174" w14:textId="77777777">
            <w:pPr>
              <w:pStyle w:val="Bodytext2"/>
              <w:rPr>
                <w:lang w:val="fi-FI"/>
              </w:rPr>
            </w:pPr>
          </w:p>
          <w:p w:rsidR="00714335" w:rsidP="00714335" w14:paraId="268605F7" w14:textId="0BE18C02">
            <w:pPr>
              <w:pStyle w:val="Bodytext2"/>
              <w:rPr>
                <w:lang w:val="fi-FI"/>
              </w:rPr>
            </w:pPr>
            <w:r w:rsidRPr="00714335">
              <w:rPr>
                <w:lang w:val="fi-FI"/>
              </w:rPr>
              <w:t>Arvonalentumistappio kirjataan välittömästi tuloslaskelma</w:t>
            </w:r>
            <w:r>
              <w:rPr>
                <w:lang w:val="fi-FI"/>
              </w:rPr>
              <w:t>lla</w:t>
            </w:r>
            <w:r w:rsidRPr="00714335">
              <w:rPr>
                <w:lang w:val="fi-FI"/>
              </w:rPr>
              <w:t xml:space="preserve"> </w:t>
            </w:r>
            <w:r>
              <w:rPr>
                <w:lang w:val="fi-FI"/>
              </w:rPr>
              <w:t>poistoihin ja arvonalentumisiin</w:t>
            </w:r>
            <w:r w:rsidRPr="00714335">
              <w:rPr>
                <w:lang w:val="fi-FI"/>
              </w:rPr>
              <w:t xml:space="preserve">. Arvonalentumistappion kirjaamisen yhteydessä poistojen kohteena olevan omaisuuserän taloudellinen vaikutusaika arvioidaan </w:t>
            </w:r>
            <w:r w:rsidRPr="00714335">
              <w:rPr>
                <w:lang w:val="fi-FI"/>
              </w:rPr>
              <w:t>uudelleen. Omaisuuserästä kirjattu aiempi arvonalentumistappio peruutetaan, mikäli kerrytettävissä olevan tulon määrittämisessä käytetyt arviot muuttuvat. Arvonalentumistappiota ei kuitenkaan peruta enempää kuin mikä omaisuuserän kirjanpitoarvo olisi ilman</w:t>
            </w:r>
            <w:r w:rsidRPr="00714335">
              <w:rPr>
                <w:lang w:val="fi-FI"/>
              </w:rPr>
              <w:t xml:space="preserve"> arvonalentumistappion kirjaamista.</w:t>
            </w:r>
          </w:p>
          <w:p w:rsidR="00714335" w:rsidRPr="00714335" w:rsidP="00714335" w14:paraId="1ECCEDB7" w14:textId="77777777">
            <w:pPr>
              <w:pStyle w:val="Bodytext2"/>
              <w:rPr>
                <w:rFonts w:eastAsiaTheme="minorEastAsia"/>
                <w:lang w:val="fi-FI" w:eastAsia="fi-FI"/>
              </w:rPr>
            </w:pPr>
          </w:p>
          <w:p w:rsidR="00072222" w:rsidRPr="00072222" w:rsidP="00072222" w14:paraId="23C52CCD" w14:textId="77777777">
            <w:pPr>
              <w:pStyle w:val="Heading13"/>
              <w:rPr>
                <w:lang w:val="fi-FI"/>
              </w:rPr>
            </w:pPr>
            <w:r w:rsidRPr="00072222">
              <w:rPr>
                <w:lang w:val="fi-FI"/>
              </w:rPr>
              <w:t>Kirjanpidolliset arviot ja harkinnat</w:t>
            </w:r>
          </w:p>
          <w:p w:rsidR="00714335" w:rsidP="00072222" w14:paraId="4A1F2094" w14:textId="2A6351CF">
            <w:pPr>
              <w:pStyle w:val="Bodytext2"/>
              <w:rPr>
                <w:rFonts w:eastAsiaTheme="minorEastAsia"/>
                <w:lang w:val="fi-FI" w:eastAsia="fi-FI"/>
              </w:rPr>
            </w:pPr>
            <w:r w:rsidRPr="00072222">
              <w:rPr>
                <w:lang w:val="fi-FI"/>
              </w:rPr>
              <w:t>Sen arviointi, onko odotettavissa oleva vastainen taloudellinen hyöty todennäköistä tai sen, mikä on aineettoman hyödykkeen taloudellinen vaikutusaika, edellyttää johdon harkintaa. A</w:t>
            </w:r>
            <w:r w:rsidRPr="00072222">
              <w:rPr>
                <w:lang w:val="fi-FI"/>
              </w:rPr>
              <w:t xml:space="preserve">rvioidut taloudelliset vaikutusajat ja jäännösarvot tarkistetaan vähintään kunkin </w:t>
            </w:r>
            <w:r>
              <w:rPr>
                <w:lang w:val="fi-FI"/>
              </w:rPr>
              <w:t>raportointi</w:t>
            </w:r>
            <w:r w:rsidRPr="00072222">
              <w:rPr>
                <w:lang w:val="fi-FI"/>
              </w:rPr>
              <w:t xml:space="preserve">kauden päättyessä, ja jos ne eroavat merkittävästi aikaisemmista arvioista, poistoaikaa muutetaan vastaavasti. </w:t>
            </w:r>
            <w:r w:rsidRPr="00176084">
              <w:rPr>
                <w:lang w:val="fi-FI"/>
              </w:rPr>
              <w:t>Myös sen arviointi, onko arvonalentumisesta viitteit</w:t>
            </w:r>
            <w:r w:rsidRPr="00176084">
              <w:rPr>
                <w:lang w:val="fi-FI"/>
              </w:rPr>
              <w:t>ä, edellyttää johdon harkintaa.</w:t>
            </w:r>
          </w:p>
        </w:tc>
      </w:tr>
    </w:tbl>
    <w:p w:rsidR="00714335" w:rsidRPr="00176084" w:rsidP="00714335" w14:paraId="39421C99" w14:textId="77777777">
      <w:pPr>
        <w:pStyle w:val="Bodytext2"/>
        <w:rPr>
          <w:lang w:val="fi-FI"/>
        </w:rPr>
      </w:pPr>
    </w:p>
    <w:p w:rsidR="00714335" w:rsidP="00714335" w14:paraId="384FF645" w14:textId="4F96DDDA">
      <w:pPr>
        <w:pStyle w:val="Heading13"/>
      </w:pPr>
      <w:r>
        <w:t>2020</w:t>
      </w:r>
    </w:p>
    <w:p w:rsidR="00714335" w:rsidP="00714335" w14:paraId="6EA782FD" w14:textId="77777777">
      <w:pPr>
        <w:pStyle w:val="Bodytext2"/>
      </w:pPr>
    </w:p>
    <w:tbl>
      <w:tblPr>
        <w:tblStyle w:val="TableNormal"/>
        <w:tblCaption w:val="table_intangible_assets_current"/>
        <w:tblW w:w="7305" w:type="dxa"/>
        <w:tblLayout w:type="fixed"/>
        <w:tblLook w:val="0600"/>
      </w:tblPr>
      <w:tblGrid>
        <w:gridCol w:w="3525"/>
        <w:gridCol w:w="945"/>
        <w:gridCol w:w="945"/>
        <w:gridCol w:w="945"/>
        <w:gridCol w:w="945"/>
      </w:tblGrid>
      <w:tr>
        <w:tblPrEx>
          <w:tblW w:w="7305" w:type="dxa"/>
          <w:tblLayout w:type="fixed"/>
          <w:tblLook w:val="0600"/>
        </w:tblPrEx>
        <w:trPr>
          <w:trHeight w:val="240"/>
        </w:trPr>
        <w:tc>
          <w:tcPr>
            <w:tcW w:w="35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Tuote-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kehitys-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kulut</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Kesken-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eräiset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hankinnat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ennakot</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Muut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aineettomat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hyödykkeet</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Hankintameno 1.1.2020</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169</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860</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1 114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Yrityshankinnat ja yritysmyynnit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Vähennykset ja muut muutokset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Uudelleenryhmittelyt</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31.12.2020</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182</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123</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829</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1 134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poistot ja arvonalentumiset 1.1.2020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-104</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-613</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-717</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Vähennysten kertyneet poistot ja muut muutokset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poisto</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Arvonalentumiset</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Kertyneet poistot ja arvonalentumiset 31.12.2020</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-115</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-628</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-743</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31.12.2020</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122</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391</w:t>
            </w:r>
          </w:p>
        </w:tc>
      </w:tr>
    </w:tbl>
    <w:p w:rsidR="00714335" w:rsidP="00714335" w14:paraId="1541447E" w14:textId="77777777">
      <w:pPr>
        <w:pStyle w:val="Bodytext2"/>
      </w:pPr>
    </w:p>
    <w:p w:rsidR="00714335" w:rsidRPr="00714335" w:rsidP="00714335" w14:paraId="6F3D30BA" w14:textId="23A277EB">
      <w:pPr>
        <w:pStyle w:val="Bodytext2"/>
        <w:rPr>
          <w:lang w:val="fi-FI"/>
        </w:rPr>
      </w:pPr>
      <w:r w:rsidRPr="00714335">
        <w:rPr>
          <w:lang w:val="fi-FI"/>
        </w:rPr>
        <w:t>Tilikaudella aktivoitiin</w:t>
      </w:r>
      <w:r>
        <w:rPr>
          <w:lang w:val="fi-FI"/>
        </w:rPr>
        <w:t xml:space="preserve"> </w:t>
      </w:r>
      <w:r w:rsidRPr="00714335">
        <w:rPr>
          <w:lang w:val="fi-FI"/>
        </w:rPr>
        <w:t>tuotekehitysmenoja</w:t>
      </w:r>
      <w:r>
        <w:rPr>
          <w:lang w:val="fi-FI"/>
        </w:rPr>
        <w:t xml:space="preserve"> sisäisesti tuotetuille omaisuuserille</w:t>
      </w:r>
      <w:r w:rsidRPr="00714335">
        <w:rPr>
          <w:lang w:val="fi-FI"/>
        </w:rPr>
        <w:t xml:space="preserve"> </w:t>
      </w:r>
      <w:r>
        <w:rPr>
          <w:lang w:val="fi-FI"/>
        </w:rPr>
        <w:t>52</w:t>
      </w:r>
      <w:r w:rsidRPr="00714335">
        <w:rPr>
          <w:lang w:val="fi-FI"/>
        </w:rPr>
        <w:t xml:space="preserve"> milj. euroa (</w:t>
      </w:r>
      <w:r>
        <w:rPr>
          <w:lang w:val="fi-FI"/>
        </w:rPr>
        <w:t>49</w:t>
      </w:r>
      <w:r w:rsidRPr="00714335">
        <w:rPr>
          <w:lang w:val="fi-FI"/>
        </w:rPr>
        <w:t xml:space="preserve">). Niiden kirjanpitoarvo oli </w:t>
      </w:r>
      <w:r>
        <w:rPr>
          <w:lang w:val="fi-FI"/>
        </w:rPr>
        <w:t>179</w:t>
      </w:r>
      <w:r w:rsidRPr="00714335">
        <w:rPr>
          <w:lang w:val="fi-FI"/>
        </w:rPr>
        <w:t xml:space="preserve"> milj. euroa (</w:t>
      </w:r>
      <w:r>
        <w:rPr>
          <w:lang w:val="fi-FI"/>
        </w:rPr>
        <w:t>135</w:t>
      </w:r>
      <w:r w:rsidRPr="00714335">
        <w:rPr>
          <w:lang w:val="fi-FI"/>
        </w:rPr>
        <w:t>).</w:t>
      </w:r>
    </w:p>
    <w:p w:rsidR="00714335" w:rsidRPr="00714335" w:rsidP="00714335" w14:paraId="198353AC" w14:textId="77777777">
      <w:pPr>
        <w:pStyle w:val="Bodytext2"/>
        <w:rPr>
          <w:lang w:val="fi-FI"/>
        </w:rPr>
      </w:pPr>
    </w:p>
    <w:p w:rsidR="00714335" w:rsidP="00714335" w14:paraId="5191FBB6" w14:textId="1BB2103C">
      <w:pPr>
        <w:pStyle w:val="Bodytext2"/>
        <w:rPr>
          <w:lang w:val="fi-FI"/>
        </w:rPr>
      </w:pPr>
      <w:r w:rsidRPr="00714335">
        <w:rPr>
          <w:lang w:val="fi-FI"/>
        </w:rPr>
        <w:t>Hankintamenojen allokoint</w:t>
      </w:r>
      <w:r w:rsidRPr="00714335">
        <w:rPr>
          <w:lang w:val="fi-FI"/>
        </w:rPr>
        <w:t xml:space="preserve">eihin liittyvät aineettomien hyödykkeiden poistot olivat </w:t>
      </w:r>
      <w:r>
        <w:rPr>
          <w:lang w:val="fi-FI"/>
        </w:rPr>
        <w:t>33</w:t>
      </w:r>
      <w:r w:rsidRPr="00714335">
        <w:rPr>
          <w:lang w:val="fi-FI"/>
        </w:rPr>
        <w:t xml:space="preserve"> milj. euroa (4</w:t>
      </w:r>
      <w:r>
        <w:rPr>
          <w:lang w:val="fi-FI"/>
        </w:rPr>
        <w:t>1</w:t>
      </w:r>
      <w:r w:rsidRPr="00714335">
        <w:rPr>
          <w:lang w:val="fi-FI"/>
        </w:rPr>
        <w:t xml:space="preserve">) ja niiden kirjanpitoarvo oli </w:t>
      </w:r>
      <w:r>
        <w:rPr>
          <w:lang w:val="fi-FI"/>
        </w:rPr>
        <w:t>171</w:t>
      </w:r>
      <w:r w:rsidRPr="00714335">
        <w:rPr>
          <w:lang w:val="fi-FI"/>
        </w:rPr>
        <w:t xml:space="preserve"> milj. euroa (2</w:t>
      </w:r>
      <w:r>
        <w:rPr>
          <w:lang w:val="fi-FI"/>
        </w:rPr>
        <w:t>09</w:t>
      </w:r>
      <w:r w:rsidRPr="00714335">
        <w:rPr>
          <w:lang w:val="fi-FI"/>
        </w:rPr>
        <w:t>).</w:t>
      </w:r>
    </w:p>
    <w:p w:rsidR="00714335" w:rsidRPr="00714335" w:rsidP="00714335" w14:paraId="247CA5D1" w14:textId="77777777">
      <w:pPr>
        <w:pStyle w:val="Bodytext2"/>
        <w:rPr>
          <w:lang w:val="fi-FI"/>
        </w:rPr>
      </w:pPr>
    </w:p>
    <w:p w:rsidR="00714335" w:rsidP="00714335" w14:paraId="68725AA5" w14:textId="40C8B0AA">
      <w:pPr>
        <w:pStyle w:val="Heading13"/>
      </w:pPr>
      <w:r>
        <w:t>2019</w:t>
      </w:r>
    </w:p>
    <w:p w:rsidR="00714335" w:rsidP="00714335" w14:paraId="060C4A81" w14:textId="77777777">
      <w:pPr>
        <w:pStyle w:val="Bodytext2"/>
      </w:pPr>
    </w:p>
    <w:tbl>
      <w:tblPr>
        <w:tblStyle w:val="TableNormal"/>
        <w:tblCaption w:val="table_intangible_assets_previous"/>
        <w:tblW w:w="7305" w:type="dxa"/>
        <w:tblLayout w:type="fixed"/>
        <w:tblLook w:val="0600"/>
      </w:tblPr>
      <w:tblGrid>
        <w:gridCol w:w="3525"/>
        <w:gridCol w:w="945"/>
        <w:gridCol w:w="945"/>
        <w:gridCol w:w="945"/>
        <w:gridCol w:w="945"/>
      </w:tblGrid>
      <w:tr>
        <w:tblPrEx>
          <w:tblW w:w="7305" w:type="dxa"/>
          <w:tblLayout w:type="fixed"/>
          <w:tblLook w:val="0600"/>
        </w:tblPrEx>
        <w:trPr>
          <w:trHeight w:val="240"/>
        </w:trPr>
        <w:tc>
          <w:tcPr>
            <w:tcW w:w="35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Tuote-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kehitys-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kulut</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Kesken-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eräiset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hankinnat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ennakot</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Muut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aineettomat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hyödykkeet</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Hankintameno 1.1.2019</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141</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857</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1 051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Yrityshankinnat ja yritysmyynnit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Vähennykset ja muut muutokset</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Uudelleenryhmittelyt</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31.12.2019</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169</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860</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1 114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poistot ja arvonalentumiset 1.1.2019</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-94</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-565</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-659</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Vähennysten kertyneet poistot ja muut muutokset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poisto</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Kertyneet poistot ja arvonalentumiset 31.12.2019</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w:t>
            </w: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-613</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-717</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31.12.2019</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247</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397</w:t>
            </w:r>
          </w:p>
        </w:tc>
      </w:tr>
    </w:tbl>
    <w:p/>
    <w:p w:rsidR="00DE3CDB" w:rsidP="00DE3CDB" w14:paraId="27601F71" w14:textId="71E98CF6">
      <w:pPr>
        <w:pStyle w:val="Heading12"/>
      </w:pPr>
      <w:bookmarkStart w:id="1133" w:name="RG_MARKER_4720"/>
      <w:r>
        <w:t>3.3. AINEELLISET HYÖDYKKEET</w:t>
      </w:r>
      <w:bookmarkEnd w:id="1133"/>
    </w:p>
    <w:tbl>
      <w:tblPr>
        <w:tblStyle w:val="TableGrid"/>
        <w:tblW w:w="7371" w:type="dxa"/>
        <w:tblLook w:val="04A0"/>
      </w:tblPr>
      <w:tblGrid>
        <w:gridCol w:w="7371"/>
      </w:tblGrid>
      <w:tr w14:paraId="5FD79716" w14:textId="77777777" w:rsidTr="00DE3CDB">
        <w:tblPrEx>
          <w:tblW w:w="7371" w:type="dxa"/>
          <w:tblLook w:val="04A0"/>
        </w:tblPrEx>
        <w:tc>
          <w:tcPr>
            <w:tcW w:w="7371" w:type="dxa"/>
            <w:tcBorders>
              <w:top w:val="nil"/>
              <w:left w:val="nil"/>
              <w:bottom w:val="nil"/>
              <w:right w:val="nil"/>
            </w:tcBorders>
            <w:shd w:val="clear" w:color="auto" w:fill="B6C8D1"/>
          </w:tcPr>
          <w:p w:rsidR="00DE3CDB" w:rsidRPr="00365A6D" w14:paraId="2DA2F736" w14:textId="51B0EB34">
            <w:pPr>
              <w:pStyle w:val="Heading13"/>
              <w:rPr>
                <w:rFonts w:eastAsiaTheme="minorEastAsia"/>
                <w:lang w:val="fi-FI" w:eastAsia="fi-FI"/>
              </w:rPr>
            </w:pPr>
            <w:r w:rsidRPr="00365A6D">
              <w:rPr>
                <w:rFonts w:eastAsiaTheme="minorEastAsia"/>
                <w:lang w:val="fi-FI" w:eastAsia="fi-FI"/>
              </w:rPr>
              <w:t>Laadintaperiaatteet</w:t>
            </w:r>
          </w:p>
          <w:p w:rsidR="00DE3CDB" w:rsidRPr="00DE3CDB" w:rsidP="00DE3CDB" w14:paraId="4AC9FBCF" w14:textId="63F38D85">
            <w:pPr>
              <w:pStyle w:val="Bodytext2"/>
              <w:rPr>
                <w:lang w:val="fi-FI" w:eastAsia="fi-FI"/>
              </w:rPr>
            </w:pPr>
            <w:r w:rsidRPr="00DE3CDB">
              <w:rPr>
                <w:lang w:val="fi-FI" w:eastAsia="fi-FI"/>
              </w:rPr>
              <w:t xml:space="preserve">Konserniyhtiöiden aineelliset käyttöomaisuushyödykkeet arvostetaan hankintamenoon vähennettynä kertyneillä poistoilla ja arvonalentumistappioilla. Hankintameno sisältää ne menot, jotka johtuvat </w:t>
            </w:r>
            <w:r w:rsidRPr="00DE3CDB">
              <w:rPr>
                <w:lang w:val="fi-FI" w:eastAsia="fi-FI"/>
              </w:rPr>
              <w:t>välittömästi kyseisen hyödykkeen hankinnasta. Saadut avustukset kirjataan hankintamenon vähennyksinä. Liiketoimintojen yhdistämisissä hankitut aineelliset käyttöomaisuushyödykkeet arvostetaan hankintahetken käypään arvoon. Ne vieraan pääoman menot, jotka j</w:t>
            </w:r>
            <w:r w:rsidRPr="00DE3CDB">
              <w:rPr>
                <w:lang w:val="fi-FI" w:eastAsia="fi-FI"/>
              </w:rPr>
              <w:t>ohtuvat välittömästi ehdot täyttävän omaisuuserän hankkimisesta, rakentamisesta tai valmistamisesta, aktivoidaan taseeseen osana kyseisen hyödykkeen hankintamenoa. Ehdot täyttävä hyödyke on omaisuuserä, jonka valmiiksi saattaminen sen aiottua käyttötarkoit</w:t>
            </w:r>
            <w:r w:rsidRPr="00DE3CDB">
              <w:rPr>
                <w:lang w:val="fi-FI" w:eastAsia="fi-FI"/>
              </w:rPr>
              <w:t>usta tai myyntiä varten vaatii välttämättä huomattavan pitkän ajan. Muut vieraan pääoman menot kirjataan kuluksi sillä kaudella, jonka aikana ne ovat syntyneet.</w:t>
            </w:r>
          </w:p>
          <w:p w:rsidR="00DE3CDB" w:rsidRPr="00DE3CDB" w:rsidP="00DE3CDB" w14:paraId="62219F7E" w14:textId="77777777">
            <w:pPr>
              <w:pStyle w:val="Bodytext2"/>
              <w:rPr>
                <w:lang w:val="fi-FI" w:eastAsia="fi-FI"/>
              </w:rPr>
            </w:pPr>
          </w:p>
          <w:p w:rsidR="00DE3CDB" w:rsidP="00DE3CDB" w14:paraId="41CE215F" w14:textId="3EF08F66">
            <w:pPr>
              <w:pStyle w:val="Bodytext2"/>
              <w:rPr>
                <w:lang w:val="fi-FI" w:eastAsia="fi-FI"/>
              </w:rPr>
            </w:pPr>
            <w:r w:rsidRPr="00DE3CDB">
              <w:rPr>
                <w:lang w:val="fi-FI" w:eastAsia="fi-FI"/>
              </w:rPr>
              <w:t>Myöhemmin syntyvät menot sisällytetään aineellisen käyttöomaisuushyödykkeen kirjanpitoarvoon v</w:t>
            </w:r>
            <w:r w:rsidRPr="00DE3CDB">
              <w:rPr>
                <w:lang w:val="fi-FI" w:eastAsia="fi-FI"/>
              </w:rPr>
              <w:t>ain, mikäli on todennäköistä, että hyödykkeeseen liittyvä taloudellinen hyöty koituu konsernin hyväksi, ja hyödykkeen hankintameno on luotettavasti määritettävissä. Säännöllisin määräajoin suoritettavista suurista ja perinpohjaisista tarkastuksista tai kun</w:t>
            </w:r>
            <w:r w:rsidRPr="00DE3CDB">
              <w:rPr>
                <w:lang w:val="fi-FI" w:eastAsia="fi-FI"/>
              </w:rPr>
              <w:t>nossapidosta johtuvat menot käsitellään investointeina, ja ne kirjataan poistoina kuluiksi vaikutusaikanaan. Tavanomaiset kunnossapito- ja korjauskustannukset kirjataan kuluiksi, kun ne toteutuvat.</w:t>
            </w:r>
          </w:p>
          <w:p w:rsidR="00DE3CDB" w:rsidRPr="00DE3CDB" w:rsidP="00DE3CDB" w14:paraId="2DBA01BD" w14:textId="77777777">
            <w:pPr>
              <w:pStyle w:val="Bodytext2"/>
              <w:rPr>
                <w:lang w:val="fi-FI" w:eastAsia="fi-FI"/>
              </w:rPr>
            </w:pPr>
          </w:p>
          <w:p w:rsidR="00DE3CDB" w:rsidRPr="00DE3CDB" w:rsidP="00DE3CDB" w14:paraId="1BE305F1" w14:textId="77777777">
            <w:pPr>
              <w:pStyle w:val="Bodytext2"/>
              <w:rPr>
                <w:lang w:val="fi-FI" w:eastAsia="fi-FI"/>
              </w:rPr>
            </w:pPr>
            <w:r w:rsidRPr="00DE3CDB">
              <w:rPr>
                <w:lang w:val="fi-FI" w:eastAsia="fi-FI"/>
              </w:rPr>
              <w:t>Konsernin soveltamat poistoajat perustuvat seuraaviin arv</w:t>
            </w:r>
            <w:r w:rsidRPr="00DE3CDB">
              <w:rPr>
                <w:lang w:val="fi-FI" w:eastAsia="fi-FI"/>
              </w:rPr>
              <w:t>ioituihin taloudellisiin vaikutusaikoihin:</w:t>
            </w:r>
          </w:p>
          <w:p w:rsidR="00DE3CDB" w:rsidRPr="00DE3CDB" w:rsidP="00DE3CDB" w14:paraId="6F67AC84" w14:textId="0DF78A17">
            <w:pPr>
              <w:pStyle w:val="Bodytext2"/>
              <w:rPr>
                <w:lang w:val="fi-FI" w:eastAsia="fi-FI"/>
              </w:rPr>
            </w:pPr>
            <w:r w:rsidRPr="00DE3CDB">
              <w:rPr>
                <w:lang w:val="fi-FI" w:eastAsia="fi-FI"/>
              </w:rPr>
              <w:t>•</w:t>
            </w:r>
            <w:r>
              <w:rPr>
                <w:lang w:val="fi-FI" w:eastAsia="fi-FI"/>
              </w:rPr>
              <w:t xml:space="preserve"> </w:t>
            </w:r>
            <w:r w:rsidRPr="00DE3CDB">
              <w:rPr>
                <w:lang w:val="fi-FI" w:eastAsia="fi-FI"/>
              </w:rPr>
              <w:t>rakennukset 10–40 vuotta</w:t>
            </w:r>
          </w:p>
          <w:p w:rsidR="00DE3CDB" w:rsidRPr="00DE3CDB" w:rsidP="00DE3CDB" w14:paraId="7752261B" w14:textId="042D0366">
            <w:pPr>
              <w:pStyle w:val="Bodytext2"/>
              <w:rPr>
                <w:lang w:val="fi-FI" w:eastAsia="fi-FI"/>
              </w:rPr>
            </w:pPr>
            <w:r w:rsidRPr="00DE3CDB">
              <w:rPr>
                <w:lang w:val="fi-FI" w:eastAsia="fi-FI"/>
              </w:rPr>
              <w:t>•</w:t>
            </w:r>
            <w:r>
              <w:rPr>
                <w:lang w:val="fi-FI" w:eastAsia="fi-FI"/>
              </w:rPr>
              <w:t xml:space="preserve"> </w:t>
            </w:r>
            <w:r w:rsidRPr="00DE3CDB">
              <w:rPr>
                <w:lang w:val="fi-FI" w:eastAsia="fi-FI"/>
              </w:rPr>
              <w:t>koneet ja laitteet 5–20 vuotta</w:t>
            </w:r>
          </w:p>
          <w:p w:rsidR="00DE3CDB" w:rsidP="00DE3CDB" w14:paraId="258CD837" w14:textId="2389C3A9">
            <w:pPr>
              <w:pStyle w:val="Bodytext2"/>
              <w:rPr>
                <w:lang w:val="fi-FI" w:eastAsia="fi-FI"/>
              </w:rPr>
            </w:pPr>
            <w:r w:rsidRPr="00DE3CDB">
              <w:rPr>
                <w:lang w:val="fi-FI" w:eastAsia="fi-FI"/>
              </w:rPr>
              <w:t>•</w:t>
            </w:r>
            <w:r>
              <w:rPr>
                <w:lang w:val="fi-FI" w:eastAsia="fi-FI"/>
              </w:rPr>
              <w:t xml:space="preserve"> </w:t>
            </w:r>
            <w:r w:rsidRPr="00DE3CDB">
              <w:rPr>
                <w:lang w:val="fi-FI" w:eastAsia="fi-FI"/>
              </w:rPr>
              <w:t>muut aineelliset hyödykkeet 3–10 vuotta.</w:t>
            </w:r>
          </w:p>
          <w:p w:rsidR="00DE3CDB" w:rsidRPr="00DE3CDB" w:rsidP="00DE3CDB" w14:paraId="7723EA3B" w14:textId="77777777">
            <w:pPr>
              <w:pStyle w:val="Bodytext2"/>
              <w:rPr>
                <w:lang w:val="fi-FI" w:eastAsia="fi-FI"/>
              </w:rPr>
            </w:pPr>
          </w:p>
          <w:p w:rsidR="00DE3CDB" w:rsidP="00DE3CDB" w14:paraId="274F79F1" w14:textId="7750E12C">
            <w:pPr>
              <w:pStyle w:val="Bodytext2"/>
              <w:rPr>
                <w:lang w:val="fi-FI" w:eastAsia="fi-FI"/>
              </w:rPr>
            </w:pPr>
            <w:r w:rsidRPr="00DE3CDB">
              <w:rPr>
                <w:lang w:val="fi-FI" w:eastAsia="fi-FI"/>
              </w:rPr>
              <w:t>Varallisuuserät poistetaan tasapoistoina niiden arvioidun taloudellisen vaikutusajan kuluessa. Maa-alueista e</w:t>
            </w:r>
            <w:r w:rsidRPr="00DE3CDB">
              <w:rPr>
                <w:lang w:val="fi-FI" w:eastAsia="fi-FI"/>
              </w:rPr>
              <w:t xml:space="preserve">i tehdä poistoja, koska niillä katsotaan olevan rajoittamaton taloudellinen vaikutusaika. Arvioidut taloudelliset vaikutusajat ja jäännösarvot tarkistetaan vähintään jokaisen </w:t>
            </w:r>
            <w:r>
              <w:rPr>
                <w:lang w:val="fi-FI" w:eastAsia="fi-FI"/>
              </w:rPr>
              <w:t>raportointi</w:t>
            </w:r>
            <w:r w:rsidRPr="00DE3CDB">
              <w:rPr>
                <w:lang w:val="fi-FI" w:eastAsia="fi-FI"/>
              </w:rPr>
              <w:t>kauden päättymispäivänä, ja jos ne eroavat merkittävästi aikaisemmista</w:t>
            </w:r>
            <w:r w:rsidRPr="00DE3CDB">
              <w:rPr>
                <w:lang w:val="fi-FI" w:eastAsia="fi-FI"/>
              </w:rPr>
              <w:t xml:space="preserve"> arvioista, poistoaikoja muutetaan vastaavasti. Poistot on lopetettava, kun omaisuuserä luokitellaan myytävänä olevaksi.</w:t>
            </w:r>
          </w:p>
          <w:p w:rsidR="00DE3CDB" w:rsidRPr="00DE3CDB" w:rsidP="00DE3CDB" w14:paraId="538EA3FF" w14:textId="77777777">
            <w:pPr>
              <w:pStyle w:val="Bodytext2"/>
              <w:rPr>
                <w:lang w:val="fi-FI" w:eastAsia="fi-FI"/>
              </w:rPr>
            </w:pPr>
          </w:p>
          <w:p w:rsidR="00DE3CDB" w:rsidP="00DE3CDB" w14:paraId="0B3BF9C5" w14:textId="13E59E92">
            <w:pPr>
              <w:pStyle w:val="Bodytext2"/>
              <w:rPr>
                <w:lang w:val="fi-FI" w:eastAsia="fi-FI"/>
              </w:rPr>
            </w:pPr>
            <w:r w:rsidRPr="00DE3CDB">
              <w:rPr>
                <w:lang w:val="fi-FI" w:eastAsia="fi-FI"/>
              </w:rPr>
              <w:t>Aineellisten hyödykkeiden luovutuksista syntyvät myyntivoitot sisältyvät</w:t>
            </w:r>
            <w:r>
              <w:rPr>
                <w:lang w:val="fi-FI" w:eastAsia="fi-FI"/>
              </w:rPr>
              <w:t xml:space="preserve"> tuloslaskelmalla</w:t>
            </w:r>
            <w:r w:rsidRPr="00DE3CDB">
              <w:rPr>
                <w:lang w:val="fi-FI" w:eastAsia="fi-FI"/>
              </w:rPr>
              <w:t xml:space="preserve"> liiketoiminnan muihin tuottoihin ja myyntita</w:t>
            </w:r>
            <w:r w:rsidRPr="00DE3CDB">
              <w:rPr>
                <w:lang w:val="fi-FI" w:eastAsia="fi-FI"/>
              </w:rPr>
              <w:t>ppiot</w:t>
            </w:r>
            <w:r w:rsidRPr="00DE3CDB">
              <w:rPr>
                <w:lang w:val="fi-FI" w:eastAsia="fi-FI"/>
              </w:rPr>
              <w:t xml:space="preserve"> liiketoiminnan</w:t>
            </w:r>
            <w:r>
              <w:rPr>
                <w:lang w:val="fi-FI" w:eastAsia="fi-FI"/>
              </w:rPr>
              <w:t xml:space="preserve"> muihin</w:t>
            </w:r>
            <w:r w:rsidRPr="00DE3CDB">
              <w:rPr>
                <w:lang w:val="fi-FI" w:eastAsia="fi-FI"/>
              </w:rPr>
              <w:t xml:space="preserve"> kuluihin.</w:t>
            </w:r>
          </w:p>
          <w:p w:rsidR="00DE3CDB" w:rsidRPr="00365A6D" w14:paraId="4B80FFDA" w14:textId="77777777">
            <w:pPr>
              <w:pStyle w:val="Bodytext2"/>
              <w:rPr>
                <w:rFonts w:eastAsiaTheme="minorEastAsia"/>
                <w:lang w:val="fi-FI" w:eastAsia="fi-FI"/>
              </w:rPr>
            </w:pPr>
          </w:p>
          <w:p w:rsidR="00DE3CDB" w:rsidRPr="00365A6D" w14:paraId="2EE42F27" w14:textId="2A4E2118">
            <w:pPr>
              <w:pStyle w:val="Heading13"/>
              <w:rPr>
                <w:lang w:val="fi-FI"/>
              </w:rPr>
            </w:pPr>
            <w:r w:rsidRPr="00365A6D">
              <w:rPr>
                <w:lang w:val="fi-FI"/>
              </w:rPr>
              <w:t>Omaisuuserien arvonalentumiset</w:t>
            </w:r>
          </w:p>
          <w:p w:rsidR="00DE3CDB" w:rsidRPr="00DE3CDB" w:rsidP="00DE3CDB" w14:paraId="067DA8C1" w14:textId="77777777">
            <w:pPr>
              <w:pStyle w:val="Bodytext2"/>
              <w:rPr>
                <w:lang w:val="fi-FI" w:eastAsia="fi-FI"/>
              </w:rPr>
            </w:pPr>
            <w:r w:rsidRPr="00DE3CDB">
              <w:rPr>
                <w:lang w:val="fi-FI" w:eastAsia="fi-FI"/>
              </w:rPr>
              <w:t xml:space="preserve">Omaisuuserien tasearvoa tarkastellaan vähintään vuosittain tai useammin, jos arvonalentumisesta on viitteitä. Jos viitteitä ilmenee, arvioidaan kyseisestä omaisuuserästä kerrytettävissä </w:t>
            </w:r>
            <w:r w:rsidRPr="00DE3CDB">
              <w:rPr>
                <w:lang w:val="fi-FI" w:eastAsia="fi-FI"/>
              </w:rPr>
              <w:t>oleva rahamäärä, jota verrataan omaisuuserän kirjanpitoarvoon. Arvonalentumistappio kirjataan, kun omaisuuserän kirjanpitoarvo ylittää siitä kerrytettävissä olevan rahamäärän. Kerrytettävissä oleva rahamäärä on omaisuuserän käypä arvo vähennettynä myynnist</w:t>
            </w:r>
            <w:r w:rsidRPr="00DE3CDB">
              <w:rPr>
                <w:lang w:val="fi-FI" w:eastAsia="fi-FI"/>
              </w:rPr>
              <w:t>ä aiheutuvilla menoilla tai käyttöarvo sen mukaan, kumpi niistä on suurempi.</w:t>
            </w:r>
          </w:p>
          <w:p w:rsidR="00DE3CDB" w:rsidP="00DE3CDB" w14:paraId="361D025F" w14:textId="02CC56DD">
            <w:pPr>
              <w:pStyle w:val="Bodytext2"/>
              <w:rPr>
                <w:lang w:val="fi-FI" w:eastAsia="fi-FI"/>
              </w:rPr>
            </w:pPr>
            <w:r w:rsidRPr="00DE3CDB">
              <w:rPr>
                <w:lang w:val="fi-FI" w:eastAsia="fi-FI"/>
              </w:rPr>
              <w:t>Arvonalentumistappio kirjataan välittömästi tuloslaskelma</w:t>
            </w:r>
            <w:r>
              <w:rPr>
                <w:lang w:val="fi-FI" w:eastAsia="fi-FI"/>
              </w:rPr>
              <w:t>lla</w:t>
            </w:r>
            <w:r w:rsidRPr="00DE3CDB">
              <w:rPr>
                <w:lang w:val="fi-FI" w:eastAsia="fi-FI"/>
              </w:rPr>
              <w:t xml:space="preserve"> </w:t>
            </w:r>
            <w:r>
              <w:rPr>
                <w:lang w:val="fi-FI"/>
              </w:rPr>
              <w:t>poistoihin ja arvonalentumisiin</w:t>
            </w:r>
            <w:r w:rsidRPr="00DE3CDB">
              <w:rPr>
                <w:lang w:val="fi-FI" w:eastAsia="fi-FI"/>
              </w:rPr>
              <w:t>. Arvonalentumistappion kirjaamisen yhteydessä poistojen kohteena olevan omaisuuserän ta</w:t>
            </w:r>
            <w:r w:rsidRPr="00DE3CDB">
              <w:rPr>
                <w:lang w:val="fi-FI" w:eastAsia="fi-FI"/>
              </w:rPr>
              <w:t>loudellinen vaikutusaika arvioidaan uudelleen. Omaisuuserästä kirjattu aiempi arvonalentumistappio peruutetaan, mikäli kerrytettävissä olevan tulon määrittämisessä käytetyt arviot muuttuvat. Arvonalentumistappiota ei kuitenkaan peruta enempää kuin mikä oma</w:t>
            </w:r>
            <w:r w:rsidRPr="00DE3CDB">
              <w:rPr>
                <w:lang w:val="fi-FI" w:eastAsia="fi-FI"/>
              </w:rPr>
              <w:t>isuuserän kirjanpitoarvo olisi ilman arvonalentumistappion kirjaamista.</w:t>
            </w:r>
          </w:p>
          <w:p w:rsidR="00DE3CDB" w:rsidRPr="00365A6D" w14:paraId="0804A01B" w14:textId="77777777">
            <w:pPr>
              <w:pStyle w:val="Bodytext2"/>
              <w:rPr>
                <w:rFonts w:eastAsiaTheme="minorEastAsia"/>
                <w:lang w:val="fi-FI" w:eastAsia="fi-FI"/>
              </w:rPr>
            </w:pPr>
          </w:p>
          <w:p w:rsidR="00DE3CDB" w:rsidRPr="00831659" w14:paraId="347EEDBF" w14:textId="63B080DA">
            <w:pPr>
              <w:pStyle w:val="Heading13"/>
              <w:rPr>
                <w:lang w:val="fi-FI"/>
              </w:rPr>
            </w:pPr>
            <w:r w:rsidRPr="00831659">
              <w:rPr>
                <w:lang w:val="fi-FI"/>
              </w:rPr>
              <w:t>Kirjanpidolliset arviot ja harkinnat</w:t>
            </w:r>
          </w:p>
          <w:p w:rsidR="00DE3CDB" w:rsidRPr="00890DA8" w:rsidP="00890DA8" w14:paraId="04738C3C" w14:textId="5CA58BCE">
            <w:pPr>
              <w:pStyle w:val="Bodytext2"/>
              <w:rPr>
                <w:rFonts w:eastAsiaTheme="minorEastAsia"/>
                <w:lang w:val="fi-FI" w:eastAsia="fi-FI"/>
              </w:rPr>
            </w:pPr>
            <w:r w:rsidRPr="00890DA8">
              <w:rPr>
                <w:lang w:val="fi-FI"/>
              </w:rPr>
              <w:t>Sen arviointi, onko odotettavissa oleva vastainen taloudelli</w:t>
            </w:r>
            <w:r w:rsidR="00890DA8">
              <w:rPr>
                <w:lang w:val="fi-FI"/>
              </w:rPr>
              <w:t>n</w:t>
            </w:r>
            <w:r w:rsidRPr="00890DA8">
              <w:rPr>
                <w:lang w:val="fi-FI"/>
              </w:rPr>
              <w:t>en hyöty todennäköistä tai sen, mikä on ainee</w:t>
            </w:r>
            <w:r>
              <w:rPr>
                <w:lang w:val="fi-FI"/>
              </w:rPr>
              <w:t>llisen</w:t>
            </w:r>
            <w:r w:rsidRPr="00890DA8">
              <w:rPr>
                <w:lang w:val="fi-FI"/>
              </w:rPr>
              <w:t xml:space="preserve"> hyödykkeen taloudellinen vaikutusaika, edellyttää johdon harkintaa</w:t>
            </w:r>
            <w:r w:rsidRPr="00890DA8" w:rsidR="00890DA8">
              <w:rPr>
                <w:lang w:val="fi-FI"/>
              </w:rPr>
              <w:t xml:space="preserve">. </w:t>
            </w:r>
            <w:r w:rsidRPr="00890DA8">
              <w:rPr>
                <w:lang w:val="fi-FI"/>
              </w:rPr>
              <w:t xml:space="preserve">Arvioidut taloudelliset vaikutusajat ja </w:t>
            </w:r>
            <w:r w:rsidRPr="00890DA8" w:rsidR="00890DA8">
              <w:rPr>
                <w:lang w:val="fi-FI"/>
              </w:rPr>
              <w:t>jäännösarvot tarkistetaan vähintään</w:t>
            </w:r>
            <w:r w:rsidR="00890DA8">
              <w:rPr>
                <w:lang w:val="fi-FI"/>
              </w:rPr>
              <w:t xml:space="preserve"> kunkin</w:t>
            </w:r>
            <w:r w:rsidRPr="00890DA8" w:rsidR="00890DA8">
              <w:rPr>
                <w:lang w:val="fi-FI"/>
              </w:rPr>
              <w:t xml:space="preserve"> </w:t>
            </w:r>
            <w:r>
              <w:rPr>
                <w:lang w:val="fi-FI"/>
              </w:rPr>
              <w:t>raportointi</w:t>
            </w:r>
            <w:r w:rsidRPr="00890DA8" w:rsidR="00890DA8">
              <w:rPr>
                <w:lang w:val="fi-FI"/>
              </w:rPr>
              <w:t>kauden päättyessä, ja jos ne eroavat merkittävästi aikaisemmista arvioista, poistoaikaa muutetaan vastaavasti. Myös sen arviointi, onko arvonalentumisesta viitteitä, edellyttää johdon harkintaa.</w:t>
            </w:r>
          </w:p>
        </w:tc>
      </w:tr>
    </w:tbl>
    <w:p w:rsidR="00DE3CDB" w:rsidRPr="00890DA8" w:rsidP="00DE3CDB" w14:paraId="6CCC1728" w14:textId="77777777">
      <w:pPr>
        <w:pStyle w:val="Bodytext2"/>
        <w:rPr>
          <w:lang w:val="fi-FI"/>
        </w:rPr>
      </w:pPr>
    </w:p>
    <w:p w:rsidR="00DE3CDB" w:rsidRPr="00DE3CDB" w:rsidP="00DE3CDB" w14:paraId="6CA15682" w14:textId="7C6FEDA4">
      <w:pPr>
        <w:pStyle w:val="Heading13"/>
      </w:pPr>
      <w:r>
        <w:t>2020</w:t>
      </w:r>
    </w:p>
    <w:p w:rsidR="00DE3CDB" w:rsidP="00DE3CDB" w14:paraId="0480B889" w14:textId="77777777">
      <w:pPr>
        <w:pStyle w:val="Bodytext2"/>
      </w:pPr>
    </w:p>
    <w:tbl>
      <w:tblPr>
        <w:tblStyle w:val="TableNormal"/>
        <w:tblCaption w:val="table_ppe_current"/>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Maa-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alueet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Raken-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nukset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 raken-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nelmat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Koneet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 ka-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lusto</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Kesken-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eräiset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nat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ennakot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Muut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aineelli-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set hyö-</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dykkeet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teensä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Hankintameno 1.1.2020</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283</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798</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1 167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Yrityshankinnat ja yritysmyynnit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Vähennykset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Uudelleenryhmittelyt</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31.12.2020</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270</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782</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1 135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poistot ja arvonalentumiset 1.1.2020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-179</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-659</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-860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Vähennysten ja yritysmyyntien kertyneet poistot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poisto</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Arvonalentumiset</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Kertyneet poistot ja arvonalentumiset 31.12.2020</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-176</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-654</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87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31.12.2020</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128</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282</w:t>
            </w:r>
          </w:p>
        </w:tc>
      </w:tr>
    </w:tbl>
    <w:p w:rsidR="00DE3CDB" w:rsidRPr="00F61620" w:rsidP="00DE3CDB" w14:paraId="59340442" w14:textId="48766B40">
      <w:pPr>
        <w:pStyle w:val="Bodytext2"/>
        <w:rPr>
          <w:sz w:val="2"/>
          <w:szCs w:val="2"/>
        </w:rPr>
      </w:pPr>
      <w:r>
        <w:br w:type="column"/>
      </w:r>
    </w:p>
    <w:p w:rsidR="00DE3CDB" w:rsidRPr="00DE3CDB" w:rsidP="00DE3CDB" w14:paraId="41EB7235" w14:textId="64207F47">
      <w:pPr>
        <w:pStyle w:val="Heading13"/>
      </w:pPr>
      <w:r w:rsidRPr="00DE3CDB">
        <w:t>2019</w:t>
      </w:r>
    </w:p>
    <w:p w:rsidR="00DE3CDB" w:rsidP="00DE3CDB" w14:paraId="00892B48" w14:textId="77777777">
      <w:pPr>
        <w:pStyle w:val="Bodytext2"/>
      </w:pPr>
    </w:p>
    <w:tbl>
      <w:tblPr>
        <w:tblStyle w:val="TableNormal"/>
        <w:tblCaption w:val="table_ppe_previou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25"/>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Maa-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alueet</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Raken-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nukset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 raken-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nelmat</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Koneet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 ka-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lusto</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Kesken-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eräiset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nat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ennakot</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Muut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aineelli-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set hyö-</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dykkeet</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teensä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Hankintameno 1.1.2019</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297</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780</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1 171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Siirto käyttöoikeusomaisuuseriin</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Vähennykset</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Uudelleenryhmittelyt</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31.12.2019</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283</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798</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1 167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poistot ja arvonalentumiset 1.1.2019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-177</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-648</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Vähennysten kertyneet poistot</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poisto</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Arvonalentumiset</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Kertyneet poistot ja arvonalentumiset 31.12.2019</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-179</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-659</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-860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31.12.2019</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139</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307</w:t>
            </w:r>
          </w:p>
        </w:tc>
      </w:tr>
    </w:tbl>
    <w:p/>
    <w:p w:rsidR="00487577" w:rsidP="00487577" w14:paraId="4B36C7C1" w14:textId="2CF44BA0">
      <w:pPr>
        <w:pStyle w:val="Heading12"/>
      </w:pPr>
      <w:bookmarkStart w:id="1134" w:name="RG_MARKER_4721"/>
      <w:r>
        <w:t>3.4. VUOKRASOPIMUKSET</w:t>
      </w:r>
      <w:bookmarkEnd w:id="1134"/>
    </w:p>
    <w:tbl>
      <w:tblPr>
        <w:tblStyle w:val="TableGrid"/>
        <w:tblW w:w="7371" w:type="dxa"/>
        <w:tblLook w:val="04A0"/>
      </w:tblPr>
      <w:tblGrid>
        <w:gridCol w:w="7371"/>
      </w:tblGrid>
      <w:tr w14:paraId="67036905" w14:textId="77777777" w:rsidTr="00487577">
        <w:tblPrEx>
          <w:tblW w:w="7371" w:type="dxa"/>
          <w:tblLook w:val="04A0"/>
        </w:tblPrEx>
        <w:tc>
          <w:tcPr>
            <w:tcW w:w="7371" w:type="dxa"/>
            <w:tcBorders>
              <w:top w:val="nil"/>
              <w:left w:val="nil"/>
              <w:bottom w:val="nil"/>
              <w:right w:val="nil"/>
            </w:tcBorders>
            <w:shd w:val="clear" w:color="auto" w:fill="B6C8D1"/>
          </w:tcPr>
          <w:p w:rsidR="00487577" w:rsidRPr="007263FF" w14:paraId="0F9A07AA" w14:textId="7857F3D4">
            <w:pPr>
              <w:pStyle w:val="Heading13"/>
              <w:rPr>
                <w:lang w:val="fi-FI"/>
              </w:rPr>
            </w:pPr>
            <w:r w:rsidRPr="007263FF">
              <w:rPr>
                <w:lang w:val="fi-FI"/>
              </w:rPr>
              <w:t>Laadintaperiaatteet</w:t>
            </w:r>
          </w:p>
          <w:p w:rsidR="00487577" w:rsidP="00487577" w14:paraId="4CA5E95E" w14:textId="577B1128">
            <w:pPr>
              <w:pStyle w:val="Bodytext2"/>
              <w:rPr>
                <w:lang w:val="fi-FI" w:eastAsia="fi-FI"/>
              </w:rPr>
            </w:pPr>
            <w:r w:rsidRPr="00487577">
              <w:rPr>
                <w:lang w:val="fi-FI" w:eastAsia="fi-FI"/>
              </w:rPr>
              <w:t>Konsernin aktivoidut vuokrasopimukset koskevat lähinnä toimistotiloja</w:t>
            </w:r>
            <w:r w:rsidR="007263FF">
              <w:rPr>
                <w:lang w:val="fi-FI" w:eastAsia="fi-FI"/>
              </w:rPr>
              <w:t xml:space="preserve">, </w:t>
            </w:r>
            <w:r w:rsidRPr="00487577">
              <w:rPr>
                <w:lang w:val="fi-FI" w:eastAsia="fi-FI"/>
              </w:rPr>
              <w:t>ajoneuvo</w:t>
            </w:r>
            <w:r w:rsidR="007263FF">
              <w:rPr>
                <w:lang w:val="fi-FI" w:eastAsia="fi-FI"/>
              </w:rPr>
              <w:t>ja sekä tuotannon koneita ja laitteita.</w:t>
            </w:r>
            <w:r w:rsidRPr="00487577">
              <w:rPr>
                <w:lang w:val="fi-FI" w:eastAsia="fi-FI"/>
              </w:rPr>
              <w:t xml:space="preserve"> Rakennuksia koskevien vuokrasopimusten kesto on keskimäärin noin 8 vuotta ja koneita ja laitteita koskevien vuokrasopimusten keskimäärin noin 4 vuotta. Konserni kirjaa käyttöoikeusomaisuuserän ja vuokrasopimusvelan vuokrasopimuksen alkaessa. Sopimuksen mä</w:t>
            </w:r>
            <w:r w:rsidRPr="00487577">
              <w:rPr>
                <w:lang w:val="fi-FI" w:eastAsia="fi-FI"/>
              </w:rPr>
              <w:t>ärittely vuokrasopimukseksi riippuu siitä, onko Wärtsilällä oikeus kontrolloida vuokraamansa hyödykkeen käyttöä sopimuksen voimassaoloa</w:t>
            </w:r>
            <w:r w:rsidR="007263FF">
              <w:rPr>
                <w:lang w:val="fi-FI" w:eastAsia="fi-FI"/>
              </w:rPr>
              <w:t>ikana</w:t>
            </w:r>
            <w:r w:rsidRPr="00487577">
              <w:rPr>
                <w:lang w:val="fi-FI" w:eastAsia="fi-FI"/>
              </w:rPr>
              <w:t>.</w:t>
            </w:r>
          </w:p>
          <w:p w:rsidR="00487577" w:rsidRPr="00487577" w:rsidP="00487577" w14:paraId="1125AAE5" w14:textId="77777777">
            <w:pPr>
              <w:pStyle w:val="Bodytext2"/>
              <w:rPr>
                <w:lang w:val="fi-FI" w:eastAsia="fi-FI"/>
              </w:rPr>
            </w:pPr>
          </w:p>
          <w:p w:rsidR="00487577" w:rsidP="00487577" w14:paraId="13F692F8" w14:textId="1B20D59F">
            <w:pPr>
              <w:pStyle w:val="Bodytext2"/>
              <w:rPr>
                <w:lang w:val="fi-FI" w:eastAsia="fi-FI"/>
              </w:rPr>
            </w:pPr>
            <w:r w:rsidRPr="00487577">
              <w:rPr>
                <w:lang w:val="fi-FI" w:eastAsia="fi-FI"/>
              </w:rPr>
              <w:t>Standardin IFRS 16 mukaisesti määritelty käyttöoikeusomaisuuserä arvostetaan hankintamenoon sen alkamisajankohtan</w:t>
            </w:r>
            <w:r w:rsidRPr="00487577">
              <w:rPr>
                <w:lang w:val="fi-FI" w:eastAsia="fi-FI"/>
              </w:rPr>
              <w:t>a. Käyttöoikeusomaisuuserän hankintamenoon sisällytetään vuokrasopimusvelan alkuperäisen arvostuksen mukainen määrä, sopimuksen alkamisajankohtaan mennessä suoritetut vuokranmaksut (vähennettyinä mahdollisilla saaduilla vuokrasopimukseen liittyvillä kannus</w:t>
            </w:r>
            <w:r w:rsidRPr="00487577">
              <w:rPr>
                <w:lang w:val="fi-FI" w:eastAsia="fi-FI"/>
              </w:rPr>
              <w:t>timilla), mahdolliset vuokralle</w:t>
            </w:r>
            <w:r>
              <w:rPr>
                <w:lang w:val="fi-FI" w:eastAsia="fi-FI"/>
              </w:rPr>
              <w:t xml:space="preserve"> </w:t>
            </w:r>
            <w:r w:rsidRPr="00487577">
              <w:rPr>
                <w:lang w:val="fi-FI" w:eastAsia="fi-FI"/>
              </w:rPr>
              <w:t>ottajalle syntyneet alkuvaiheen välittömät menot sekä arvio menoista, jotka aiheutuvat kohdeomaisuuserän purkamisesta ja poistamisesta, sen sijaintipaikan ennallistamisesta tai kohdeomaisuuserän ennallistamisesta vuokrasopim</w:t>
            </w:r>
            <w:r w:rsidRPr="00487577">
              <w:rPr>
                <w:lang w:val="fi-FI" w:eastAsia="fi-FI"/>
              </w:rPr>
              <w:t>uksen ehtojen mukaiseen kuntoon, elleivät kyseiset kustannukset aiheudu vaihto-omaisuuden valmistamisesta.</w:t>
            </w:r>
          </w:p>
          <w:p w:rsidR="00487577" w:rsidRPr="00487577" w:rsidP="00487577" w14:paraId="131226D6" w14:textId="77777777">
            <w:pPr>
              <w:pStyle w:val="Bodytext2"/>
              <w:rPr>
                <w:lang w:val="fi-FI" w:eastAsia="fi-FI"/>
              </w:rPr>
            </w:pPr>
          </w:p>
          <w:p w:rsidR="00487577" w:rsidP="00487577" w14:paraId="7570E312" w14:textId="722B6832">
            <w:pPr>
              <w:pStyle w:val="Bodytext2"/>
              <w:rPr>
                <w:lang w:val="fi-FI" w:eastAsia="fi-FI"/>
              </w:rPr>
            </w:pPr>
            <w:r w:rsidRPr="00487577">
              <w:rPr>
                <w:lang w:val="fi-FI" w:eastAsia="fi-FI"/>
              </w:rPr>
              <w:t>Vuokrasopimusvelan alkuperäinen nimellisarvo on vuokrakautena suoritettavien maksujen nykyarvo. Vuokranmaksuihin sisältyvät kiinteät vuokrat, jäännö</w:t>
            </w:r>
            <w:r w:rsidRPr="00487577">
              <w:rPr>
                <w:lang w:val="fi-FI" w:eastAsia="fi-FI"/>
              </w:rPr>
              <w:t>sarvotakuiden perusteella todennäköisesti maksettavat määrät, kohtuullisen varmasti käytettävien jatkamisoptioiden hinta sekä vuokrasopimuksen irtisanomisesta johtuvat sanktiot, jos vuokrakaudessa on otettu huomioon, että vuokralle</w:t>
            </w:r>
            <w:r>
              <w:rPr>
                <w:lang w:val="fi-FI" w:eastAsia="fi-FI"/>
              </w:rPr>
              <w:t xml:space="preserve"> </w:t>
            </w:r>
            <w:r w:rsidRPr="00487577">
              <w:rPr>
                <w:lang w:val="fi-FI" w:eastAsia="fi-FI"/>
              </w:rPr>
              <w:t>ottaja käyttää vuokrasop</w:t>
            </w:r>
            <w:r w:rsidRPr="00487577">
              <w:rPr>
                <w:lang w:val="fi-FI" w:eastAsia="fi-FI"/>
              </w:rPr>
              <w:t>imuksen päättämisoption. Vuokranmaksut diskontataan vuokrasopimuksen sisäisellä korolla, jos kyseinen korko on määriteltävissä. Muussa tapauksessa käytetään vuokralle</w:t>
            </w:r>
            <w:r>
              <w:rPr>
                <w:lang w:val="fi-FI" w:eastAsia="fi-FI"/>
              </w:rPr>
              <w:t xml:space="preserve"> </w:t>
            </w:r>
            <w:r w:rsidRPr="00487577">
              <w:rPr>
                <w:lang w:val="fi-FI" w:eastAsia="fi-FI"/>
              </w:rPr>
              <w:t>ottajan lisäluoton korkoa. Lisäluoton korkoina käytetään asiaankuuluvien pankkienvälisten</w:t>
            </w:r>
            <w:r w:rsidRPr="00487577">
              <w:rPr>
                <w:lang w:val="fi-FI" w:eastAsia="fi-FI"/>
              </w:rPr>
              <w:t xml:space="preserve"> korkojen ja konsernin lainasalkun keskimarginaalin </w:t>
            </w:r>
            <w:r w:rsidRPr="00862617">
              <w:rPr>
                <w:lang w:val="fi-FI" w:eastAsia="fi-FI"/>
              </w:rPr>
              <w:t>summaa</w:t>
            </w:r>
            <w:r w:rsidRPr="00487577">
              <w:rPr>
                <w:lang w:val="fi-FI" w:eastAsia="fi-FI"/>
              </w:rPr>
              <w:t>, ja ne ovat valuuttakohtaisia.</w:t>
            </w:r>
          </w:p>
          <w:p w:rsidR="00487577" w:rsidRPr="00487577" w:rsidP="00487577" w14:paraId="5A600BF1" w14:textId="77777777">
            <w:pPr>
              <w:pStyle w:val="Bodytext2"/>
              <w:rPr>
                <w:lang w:val="fi-FI" w:eastAsia="fi-FI"/>
              </w:rPr>
            </w:pPr>
          </w:p>
          <w:p w:rsidR="00487577" w:rsidP="00487577" w14:paraId="06C42579" w14:textId="48851E26">
            <w:pPr>
              <w:pStyle w:val="Bodytext2"/>
              <w:rPr>
                <w:lang w:val="fi-FI" w:eastAsia="fi-FI"/>
              </w:rPr>
            </w:pPr>
            <w:r w:rsidRPr="00487577">
              <w:rPr>
                <w:lang w:val="fi-FI" w:eastAsia="fi-FI"/>
              </w:rPr>
              <w:t>Vuokranmaksut eivät sisällä mahdollisia muuttuvia vuokria. Muuttuvat vuokrat, joita ei sisällytetä vuokrasopimusvelan alkuperäiseen arvoon, kirjataan suoraan tulosla</w:t>
            </w:r>
            <w:r w:rsidRPr="00487577">
              <w:rPr>
                <w:lang w:val="fi-FI" w:eastAsia="fi-FI"/>
              </w:rPr>
              <w:t>skelma</w:t>
            </w:r>
            <w:r w:rsidR="00FF5825">
              <w:rPr>
                <w:lang w:val="fi-FI" w:eastAsia="fi-FI"/>
              </w:rPr>
              <w:t>lla liiketoiminnan muihin kuluihin.</w:t>
            </w:r>
          </w:p>
          <w:p w:rsidR="00487577" w:rsidRPr="007263FF" w:rsidP="00487577" w14:paraId="1F1301E0" w14:textId="77777777">
            <w:pPr>
              <w:pStyle w:val="Bodytext2"/>
              <w:rPr>
                <w:highlight w:val="yellow"/>
                <w:lang w:val="fi-FI"/>
              </w:rPr>
            </w:pPr>
          </w:p>
          <w:p w:rsidR="00487577" w:rsidP="00487577" w14:paraId="062FF4B3" w14:textId="1E2F539A">
            <w:pPr>
              <w:pStyle w:val="Bodytext2"/>
              <w:rPr>
                <w:lang w:val="fi-FI" w:eastAsia="fi-FI"/>
              </w:rPr>
            </w:pPr>
            <w:r w:rsidRPr="00487577">
              <w:rPr>
                <w:lang w:val="fi-FI" w:eastAsia="fi-FI"/>
              </w:rPr>
              <w:t>Vuokrakausi on vuokrasopimuksen ei-peruutettavissa oleva kausi sekä lisäksi jatk</w:t>
            </w:r>
            <w:r w:rsidR="000C2C06">
              <w:rPr>
                <w:lang w:val="fi-FI" w:eastAsia="fi-FI"/>
              </w:rPr>
              <w:t>amis</w:t>
            </w:r>
            <w:r w:rsidRPr="00487577">
              <w:rPr>
                <w:lang w:val="fi-FI" w:eastAsia="fi-FI"/>
              </w:rPr>
              <w:t>- tai irtisanomisoptio</w:t>
            </w:r>
            <w:r>
              <w:rPr>
                <w:lang w:val="fi-FI" w:eastAsia="fi-FI"/>
              </w:rPr>
              <w:t>n kattama kausi</w:t>
            </w:r>
            <w:r w:rsidRPr="00487577">
              <w:rPr>
                <w:lang w:val="fi-FI" w:eastAsia="fi-FI"/>
              </w:rPr>
              <w:t>, jos vuokralle</w:t>
            </w:r>
            <w:r>
              <w:rPr>
                <w:lang w:val="fi-FI" w:eastAsia="fi-FI"/>
              </w:rPr>
              <w:t xml:space="preserve"> </w:t>
            </w:r>
            <w:r w:rsidRPr="00487577">
              <w:rPr>
                <w:lang w:val="fi-FI" w:eastAsia="fi-FI"/>
              </w:rPr>
              <w:t>ottaja tulee kohtuullisen todennäköisesti käyttämään</w:t>
            </w:r>
            <w:r>
              <w:rPr>
                <w:lang w:val="fi-FI" w:eastAsia="fi-FI"/>
              </w:rPr>
              <w:t xml:space="preserve"> kyse</w:t>
            </w:r>
            <w:r w:rsidRPr="00DA5791">
              <w:rPr>
                <w:color w:val="auto"/>
                <w:lang w:val="fi-FI" w:eastAsia="fi-FI"/>
              </w:rPr>
              <w:t>istä</w:t>
            </w:r>
            <w:r w:rsidRPr="00DA5791">
              <w:rPr>
                <w:lang w:val="fi-FI" w:eastAsia="fi-FI"/>
              </w:rPr>
              <w:t xml:space="preserve"> optiota</w:t>
            </w:r>
            <w:r w:rsidRPr="00487577">
              <w:rPr>
                <w:lang w:val="fi-FI" w:eastAsia="fi-FI"/>
              </w:rPr>
              <w:t xml:space="preserve">. </w:t>
            </w:r>
          </w:p>
          <w:p w:rsidR="00487577" w:rsidP="00487577" w14:paraId="23643CF8" w14:textId="77777777">
            <w:pPr>
              <w:pStyle w:val="Bodytext2"/>
              <w:rPr>
                <w:lang w:val="fi-FI" w:eastAsia="fi-FI"/>
              </w:rPr>
            </w:pPr>
          </w:p>
          <w:p w:rsidR="00487577" w:rsidP="00487577" w14:paraId="3207B2DA" w14:textId="2E019E92">
            <w:pPr>
              <w:pStyle w:val="Bodytext2"/>
              <w:rPr>
                <w:lang w:val="fi-FI" w:eastAsia="fi-FI"/>
              </w:rPr>
            </w:pPr>
            <w:r w:rsidRPr="00487577">
              <w:rPr>
                <w:lang w:val="fi-FI" w:eastAsia="fi-FI"/>
              </w:rPr>
              <w:t>Alkuperäisen arvos</w:t>
            </w:r>
            <w:r w:rsidRPr="00487577">
              <w:rPr>
                <w:lang w:val="fi-FI" w:eastAsia="fi-FI"/>
              </w:rPr>
              <w:t>tuksen jälkeen käyttöoikeusomaisuuserät arvostetaan alkuperäiseen arvoon vähennettynä kertyneillä poistoilla ja arvonalentumis</w:t>
            </w:r>
            <w:r w:rsidR="000C2C06">
              <w:rPr>
                <w:lang w:val="fi-FI" w:eastAsia="fi-FI"/>
              </w:rPr>
              <w:t>tappioilla</w:t>
            </w:r>
            <w:r w:rsidRPr="00487577">
              <w:rPr>
                <w:lang w:val="fi-FI" w:eastAsia="fi-FI"/>
              </w:rPr>
              <w:t>. Käyttöoikeusomaisuuseristä tehdyt poistot kirjataan tuloslaskelmaan. Tuloslaskelman</w:t>
            </w:r>
            <w:r w:rsidR="000C2C06">
              <w:rPr>
                <w:lang w:val="fi-FI" w:eastAsia="fi-FI"/>
              </w:rPr>
              <w:t xml:space="preserve"> rahoituskuluihin</w:t>
            </w:r>
            <w:r w:rsidRPr="00487577">
              <w:rPr>
                <w:lang w:val="fi-FI" w:eastAsia="fi-FI"/>
              </w:rPr>
              <w:t xml:space="preserve"> kirjataan myös vu</w:t>
            </w:r>
            <w:r w:rsidRPr="00487577">
              <w:rPr>
                <w:lang w:val="fi-FI" w:eastAsia="fi-FI"/>
              </w:rPr>
              <w:t>okrasopimusvelasta aiheutuvat korkokulut. Vuokrasopimusvelat arvostetaan alkuperäisiin arvoihin vähennettynä vuokranmaksujen pääoman osuudella.</w:t>
            </w:r>
          </w:p>
          <w:p w:rsidR="00487577" w:rsidRPr="00487577" w:rsidP="00487577" w14:paraId="76935814" w14:textId="77777777">
            <w:pPr>
              <w:pStyle w:val="Bodytext2"/>
              <w:rPr>
                <w:lang w:val="fi-FI" w:eastAsia="fi-FI"/>
              </w:rPr>
            </w:pPr>
          </w:p>
          <w:p w:rsidR="00487577" w:rsidP="00487577" w14:paraId="28C77489" w14:textId="7D54E5C5">
            <w:pPr>
              <w:pStyle w:val="Bodytext2"/>
              <w:rPr>
                <w:lang w:val="fi-FI" w:eastAsia="fi-FI"/>
              </w:rPr>
            </w:pPr>
            <w:r w:rsidRPr="00487577">
              <w:rPr>
                <w:lang w:val="fi-FI" w:eastAsia="fi-FI"/>
              </w:rPr>
              <w:t>Vuokranmaksut esitetään velkojen takaisinmaksuina ja niihin liittyvinä korkokuluina. Vuokranmaksut esitetään ra</w:t>
            </w:r>
            <w:r w:rsidRPr="00487577">
              <w:rPr>
                <w:lang w:val="fi-FI" w:eastAsia="fi-FI"/>
              </w:rPr>
              <w:t>hoituksen rahavirrassa ja vuokriin liittyvät korot liiketoiminnan rahavirrassa. Lyhytaikaisiin ja arvoltaan vähäisiä omaisuuseriä koskeviin vuokrasopimuksiin liittyvät vuokranmaksut sekä muuttuvat vuokrat esitetään liiketoiminnan rahavirrassa.</w:t>
            </w:r>
          </w:p>
          <w:p w:rsidR="00487577" w:rsidRPr="00487577" w:rsidP="00487577" w14:paraId="3CFFB9C4" w14:textId="77777777">
            <w:pPr>
              <w:pStyle w:val="Bodytext2"/>
              <w:rPr>
                <w:lang w:val="fi-FI" w:eastAsia="fi-FI"/>
              </w:rPr>
            </w:pPr>
          </w:p>
          <w:p w:rsidR="00487577" w:rsidP="00487577" w14:paraId="06CE8131" w14:textId="0A6C5CF6">
            <w:pPr>
              <w:pStyle w:val="Bodytext2"/>
              <w:rPr>
                <w:lang w:val="fi-FI" w:eastAsia="fi-FI"/>
              </w:rPr>
            </w:pPr>
            <w:r w:rsidRPr="00487577">
              <w:rPr>
                <w:lang w:val="fi-FI" w:eastAsia="fi-FI"/>
              </w:rPr>
              <w:t>Sopimuksissa voi yhdistyä toimittajaosapuolen erilaisia velvoitteita, jotka saattavat olla vuokrasopimuskomponenteista koostuva yhdistelmä tai vuokrasopimuskomponenteista ja muista kuin vuokrasopimuskomponenteista koostuva yhdistelmä. Vuokrasopimuskomponen</w:t>
            </w:r>
            <w:r w:rsidRPr="00487577">
              <w:rPr>
                <w:lang w:val="fi-FI" w:eastAsia="fi-FI"/>
              </w:rPr>
              <w:t>tit ja muut komponentit kirjataan erikseen, ja vastike kohdistetaan eri komponenteille suhteellisten erillishintojen perusteella.</w:t>
            </w:r>
          </w:p>
          <w:p w:rsidR="00487577" w:rsidRPr="00487577" w:rsidP="00487577" w14:paraId="7588EA0B" w14:textId="77777777">
            <w:pPr>
              <w:pStyle w:val="Bodytext2"/>
              <w:rPr>
                <w:lang w:val="fi-FI" w:eastAsia="fi-FI"/>
              </w:rPr>
            </w:pPr>
          </w:p>
          <w:p w:rsidR="00487577" w:rsidP="00487577" w14:paraId="3B3EEAF9" w14:textId="407C6475">
            <w:pPr>
              <w:pStyle w:val="Bodytext2"/>
              <w:rPr>
                <w:lang w:val="fi-FI" w:eastAsia="fi-FI"/>
              </w:rPr>
            </w:pPr>
            <w:r w:rsidRPr="00487577">
              <w:rPr>
                <w:lang w:val="fi-FI" w:eastAsia="fi-FI"/>
              </w:rPr>
              <w:t>Vuokrasopimuskomponentit ja muut komponentit erotetaan. Jos komponenttien erottaminen ei ole mahdollista, vuokrasopimukseen k</w:t>
            </w:r>
            <w:r w:rsidRPr="00487577">
              <w:rPr>
                <w:lang w:val="fi-FI" w:eastAsia="fi-FI"/>
              </w:rPr>
              <w:t>uulumattoman komponentin kirjanpidollisessa käsittelyssä käytetään harkintaa. Valintaa siitä, erotetaanko vuokrasopimukseen kuulumaton komponentti vai ei, sovelletaan koko omaisuuserään</w:t>
            </w:r>
            <w:r>
              <w:rPr>
                <w:lang w:val="fi-FI" w:eastAsia="fi-FI"/>
              </w:rPr>
              <w:t xml:space="preserve">, </w:t>
            </w:r>
            <w:r w:rsidR="006378B8">
              <w:rPr>
                <w:lang w:val="fi-FI" w:eastAsia="fi-FI"/>
              </w:rPr>
              <w:t>eli</w:t>
            </w:r>
            <w:r>
              <w:rPr>
                <w:lang w:val="fi-FI" w:eastAsia="fi-FI"/>
              </w:rPr>
              <w:t xml:space="preserve"> </w:t>
            </w:r>
            <w:r w:rsidRPr="000C2C06">
              <w:rPr>
                <w:color w:val="auto"/>
                <w:lang w:val="fi-FI" w:eastAsia="fi-FI"/>
              </w:rPr>
              <w:t>rakennu</w:t>
            </w:r>
            <w:r w:rsidR="006378B8">
              <w:rPr>
                <w:color w:val="auto"/>
                <w:lang w:val="fi-FI" w:eastAsia="fi-FI"/>
              </w:rPr>
              <w:t>k</w:t>
            </w:r>
            <w:r w:rsidRPr="000C2C06">
              <w:rPr>
                <w:color w:val="auto"/>
                <w:lang w:val="fi-FI" w:eastAsia="fi-FI"/>
              </w:rPr>
              <w:t>s</w:t>
            </w:r>
            <w:r w:rsidR="006378B8">
              <w:rPr>
                <w:color w:val="auto"/>
                <w:lang w:val="fi-FI" w:eastAsia="fi-FI"/>
              </w:rPr>
              <w:t>iin</w:t>
            </w:r>
            <w:r w:rsidRPr="000C2C06">
              <w:rPr>
                <w:color w:val="auto"/>
                <w:lang w:val="fi-FI" w:eastAsia="fi-FI"/>
              </w:rPr>
              <w:t xml:space="preserve"> </w:t>
            </w:r>
            <w:r w:rsidR="006378B8">
              <w:rPr>
                <w:color w:val="auto"/>
                <w:lang w:val="fi-FI" w:eastAsia="fi-FI"/>
              </w:rPr>
              <w:t>ja</w:t>
            </w:r>
            <w:r w:rsidRPr="000C2C06" w:rsidR="000C2C06">
              <w:rPr>
                <w:color w:val="auto"/>
                <w:lang w:val="fi-FI" w:eastAsia="fi-FI"/>
              </w:rPr>
              <w:t xml:space="preserve"> kone</w:t>
            </w:r>
            <w:r w:rsidR="006378B8">
              <w:rPr>
                <w:color w:val="auto"/>
                <w:lang w:val="fi-FI" w:eastAsia="fi-FI"/>
              </w:rPr>
              <w:t>isiin ja kalustoihin</w:t>
            </w:r>
            <w:r w:rsidRPr="000C2C06">
              <w:rPr>
                <w:color w:val="auto"/>
                <w:lang w:val="fi-FI" w:eastAsia="fi-FI"/>
              </w:rPr>
              <w:t>.</w:t>
            </w:r>
          </w:p>
          <w:p w:rsidR="00487577" w:rsidRPr="00487577" w:rsidP="00487577" w14:paraId="6CA50BD8" w14:textId="77777777">
            <w:pPr>
              <w:pStyle w:val="Bodytext2"/>
              <w:rPr>
                <w:lang w:val="fi-FI" w:eastAsia="fi-FI"/>
              </w:rPr>
            </w:pPr>
          </w:p>
          <w:p w:rsidR="00487577" w:rsidP="00487577" w14:paraId="77C938CE" w14:textId="12C45A87">
            <w:pPr>
              <w:pStyle w:val="Bodytext2"/>
              <w:rPr>
                <w:lang w:val="fi-FI" w:eastAsia="fi-FI"/>
              </w:rPr>
            </w:pPr>
            <w:r w:rsidRPr="00487577">
              <w:rPr>
                <w:lang w:val="fi-FI" w:eastAsia="fi-FI"/>
              </w:rPr>
              <w:t>Vuokrasopimusten muuto</w:t>
            </w:r>
            <w:r w:rsidRPr="00487577">
              <w:rPr>
                <w:lang w:val="fi-FI" w:eastAsia="fi-FI"/>
              </w:rPr>
              <w:t>kset voivat johtaa olemassa olevien käyttöoikeusomaisuuserien ja vuokrasopimusvelkojen oikaisuun. Vuokrasopimuksen muutoksesta tai irtisanomisesta syntyvät voitot tai tappiot sisältyvät liiketoiminnan muihin tuottoihin tai liiketoiminnan muihin kuluihin.</w:t>
            </w:r>
          </w:p>
          <w:p w:rsidR="00487577" w:rsidRPr="00487577" w:rsidP="00487577" w14:paraId="11D1A6AA" w14:textId="77777777">
            <w:pPr>
              <w:pStyle w:val="Bodytext2"/>
              <w:rPr>
                <w:lang w:val="fi-FI" w:eastAsia="fi-FI"/>
              </w:rPr>
            </w:pPr>
          </w:p>
          <w:p w:rsidR="00487577" w:rsidRPr="00487577" w:rsidP="00487577" w14:paraId="6131FCEE" w14:textId="6D3411FF">
            <w:pPr>
              <w:pStyle w:val="Bodytext2"/>
              <w:rPr>
                <w:lang w:val="fi-FI" w:eastAsia="fi-FI"/>
              </w:rPr>
            </w:pPr>
            <w:r w:rsidRPr="00487577">
              <w:rPr>
                <w:lang w:val="fi-FI" w:eastAsia="fi-FI"/>
              </w:rPr>
              <w:t>Konserni soveltaa kahta käytettävissä olevaa</w:t>
            </w:r>
            <w:r w:rsidR="00CE4584">
              <w:rPr>
                <w:lang w:val="fi-FI" w:eastAsia="fi-FI"/>
              </w:rPr>
              <w:t xml:space="preserve"> helpotusta</w:t>
            </w:r>
            <w:r w:rsidRPr="00487577">
              <w:rPr>
                <w:lang w:val="fi-FI" w:eastAsia="fi-FI"/>
              </w:rPr>
              <w:t>. Nämä liittyvät joko lyhytaikaisiin vuokrasopimuksiin, joiden vuokrakausi on korkeintaan 12 kuukautta, tai vähäarvoisiin omaisuuseriin, jotka kirjataan kuluiksi muihin liiketoiminnan kuluihin.</w:t>
            </w:r>
          </w:p>
          <w:p w:rsidR="00487577" w:rsidRPr="007263FF" w14:paraId="745688CB" w14:textId="77777777">
            <w:pPr>
              <w:pStyle w:val="Bodytext2"/>
              <w:rPr>
                <w:rFonts w:eastAsiaTheme="minorEastAsia"/>
                <w:lang w:val="fi-FI" w:eastAsia="fi-FI"/>
              </w:rPr>
            </w:pPr>
          </w:p>
          <w:p w:rsidR="00487577" w:rsidRPr="00862617" w14:paraId="36CADB11" w14:textId="63080A5A">
            <w:pPr>
              <w:pStyle w:val="Heading13"/>
              <w:rPr>
                <w:rFonts w:eastAsiaTheme="minorEastAsia" w:cstheme="minorHAnsi"/>
                <w:lang w:val="fi-FI" w:eastAsia="fi-FI"/>
              </w:rPr>
            </w:pPr>
            <w:r w:rsidRPr="00862617">
              <w:rPr>
                <w:lang w:val="fi-FI"/>
              </w:rPr>
              <w:t>Kirjanpidolliset arviot ja harkinnat</w:t>
            </w:r>
          </w:p>
          <w:p w:rsidR="00487577" w:rsidRPr="00A77F9D" w14:paraId="1F42F6D1" w14:textId="77BDDFA5">
            <w:pPr>
              <w:pStyle w:val="Bodytext2"/>
              <w:rPr>
                <w:lang w:val="fi-FI"/>
              </w:rPr>
            </w:pPr>
            <w:r w:rsidRPr="00CE4584">
              <w:rPr>
                <w:lang w:val="fi-FI"/>
              </w:rPr>
              <w:t>Johdon realistisiin arvioihin perustuvaa harkintaa k</w:t>
            </w:r>
            <w:r>
              <w:rPr>
                <w:lang w:val="fi-FI"/>
              </w:rPr>
              <w:t xml:space="preserve">äytetään, kun määritellään vuokra-aikaa. Etenkin niissä tapauksissa, joissa rakennuksen vuokrasopimus sisältää päättämis- tai jatkamisoption </w:t>
            </w:r>
            <w:r w:rsidR="00A77F9D">
              <w:rPr>
                <w:lang w:val="fi-FI"/>
              </w:rPr>
              <w:t>tai jos vuokra-aika on rajoittamaton.</w:t>
            </w:r>
          </w:p>
        </w:tc>
      </w:tr>
    </w:tbl>
    <w:p w:rsidR="00487577" w:rsidRPr="00862617" w:rsidP="00487577" w14:paraId="08E0CE65" w14:textId="77777777">
      <w:pPr>
        <w:spacing w:before="48" w:after="0"/>
        <w:rPr>
          <w:rFonts w:ascii="Arial" w:hAnsi="Arial" w:eastAsiaTheme="minorEastAsia" w:cs="Arial"/>
          <w:b/>
          <w:bCs/>
          <w:color w:val="0F172B"/>
          <w:sz w:val="15"/>
          <w:szCs w:val="15"/>
          <w:lang w:val="fi-FI" w:eastAsia="fi-FI"/>
        </w:rPr>
      </w:pPr>
    </w:p>
    <w:tbl>
      <w:tblPr>
        <w:tblStyle w:val="TableNormal"/>
        <w:tblCaption w:val="table_leases"/>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Maa-alueet ja rakennukset, käyttöoikeusomaisuuserät</w:t>
            </w: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Kirjanpitoarvo 1.1.2020</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Yrityshankinnat ja yritysmyynnit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Vähennykset ja uudelleenryhmittelyt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31.12.2020</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151</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Koneet ja kalusto, käyttöoikeusomaisuuserät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Kirjanpitoarvo 1.1.2020</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12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2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Vähennykset ja uudelleenryhmittelyt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31.12.2020</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Vuokrasopimusvelat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Kirjanpitoarvo 1.1.2020</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Yrityshankinnat ja yritysmyynnit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Korkokulut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Maksut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oikaisut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31.12.2020</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166</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Vuokrasopimusvelat yhteensä</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r>
    </w:tbl>
    <w:p w:rsidR="00487577" w:rsidP="00487577" w14:paraId="382723D2" w14:textId="77777777">
      <w:pPr>
        <w:spacing w:before="48" w:after="0"/>
        <w:rPr>
          <w:rFonts w:ascii="Arial" w:hAnsi="Arial" w:cs="Arial"/>
          <w:sz w:val="15"/>
          <w:szCs w:val="15"/>
          <w:lang w:val="en-GB"/>
        </w:rPr>
      </w:pPr>
    </w:p>
    <w:tbl>
      <w:tblPr>
        <w:tblStyle w:val="TableNormal"/>
        <w:tblCaption w:val="table_leases_2"/>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Tuloslaskelmaan kirjatut määrät</w:t>
            </w: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 käyttöoikeusomaisuuserät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Korkokulut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Kulut - lyhytaikaiset vuokrasopimukset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Kulut - arvoltaan vähäisiä omaisuuseriä koskevat vuokrasopimukset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Muuttuvat vuokrakulut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bl>
    <w:p/>
    <w:p w:rsidR="00D94F2F" w:rsidRPr="00981411" w:rsidP="00D94F2F" w14:paraId="19CE973D" w14:textId="08889C4C">
      <w:pPr>
        <w:pStyle w:val="Heading12"/>
        <w:rPr>
          <w:lang w:val="fi-FI"/>
        </w:rPr>
      </w:pPr>
      <w:bookmarkStart w:id="1135" w:name="RG_MARKER_4722"/>
      <w:r w:rsidRPr="00981411">
        <w:rPr>
          <w:lang w:val="fi-FI"/>
        </w:rPr>
        <w:t>3.5. POISTOT JA ARVONALENTUMISET</w:t>
      </w:r>
      <w:bookmarkEnd w:id="1135"/>
    </w:p>
    <w:p w:rsidR="00D94F2F" w:rsidRPr="00981411" w:rsidP="00D94F2F" w14:paraId="258CC43F" w14:textId="77777777">
      <w:pPr>
        <w:spacing w:before="48" w:after="0"/>
        <w:rPr>
          <w:rFonts w:ascii="Arial" w:hAnsi="Arial" w:cs="Arial"/>
          <w:sz w:val="15"/>
          <w:szCs w:val="15"/>
          <w:lang w:val="fi-FI"/>
        </w:rPr>
      </w:pPr>
    </w:p>
    <w:tbl>
      <w:tblPr>
        <w:tblStyle w:val="TableNormal"/>
        <w:tblCaption w:val="table_depreciation"/>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Tuotekehityskulut</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Hankintamenojen allokointeihin liittyvät poistot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aineettomat hyödykkeet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Rakennukset ja rakennelmat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Maa-alueet ja rakennukset, käyttöoikeusomaisuuserät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Koneet ja kalusto</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Koneet ja kalusto, käyttöoikeusomaisuuserät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aineelliset hyödykkeet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Arvonalentumiset</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180</w:t>
            </w:r>
          </w:p>
        </w:tc>
      </w:tr>
    </w:tbl>
    <w:p w:rsidR="004A0DF2" w:rsidRPr="00981411" w:rsidP="00D94F2F" w14:textId="56704E76">
      <w:pPr>
        <w:pStyle w:val="Bodytext2"/>
        <w:rPr>
          <w:sz w:val="2"/>
          <w:szCs w:val="2"/>
          <w:lang w:val="fi-FI"/>
        </w:rPr>
      </w:pPr>
      <w:r w:rsidRPr="00981411">
        <w:rPr>
          <w:sz w:val="2"/>
          <w:szCs w:val="2"/>
          <w:lang w:val="fi-FI"/>
        </w:rPr>
        <w:br w:type="column"/>
      </w:r>
    </w:p>
    <w:p w:rsidR="00752E09" w:rsidRPr="00752E09" w:rsidP="00752E09" w14:paraId="73A28318" w14:textId="16F30F21">
      <w:pPr>
        <w:pStyle w:val="Heading11"/>
        <w:rPr>
          <w:lang w:val="fi-FI"/>
        </w:rPr>
      </w:pPr>
      <w:bookmarkStart w:id="1136" w:name="RG_MARKER_4729"/>
      <w:bookmarkStart w:id="1137" w:name="RG_MARKER_3741"/>
      <w:r w:rsidRPr="00752E09">
        <w:rPr>
          <w:lang w:val="fi-FI"/>
        </w:rPr>
        <w:t>4. NETTOKÄYTTÖPÄÄOMA JA MUUT TASE-ERÄT</w:t>
      </w:r>
      <w:bookmarkEnd w:id="1137"/>
      <w:bookmarkEnd w:id="1136"/>
    </w:p>
    <w:p w:rsidR="00752E09" w:rsidRPr="00752E09" w:rsidP="00752E09" w14:paraId="3C8C3744" w14:textId="4A5F0E66">
      <w:pPr>
        <w:pStyle w:val="Heading12"/>
        <w:rPr>
          <w:lang w:val="fi-FI"/>
        </w:rPr>
      </w:pPr>
      <w:r w:rsidRPr="00752E09">
        <w:rPr>
          <w:lang w:val="fi-FI"/>
        </w:rPr>
        <w:t xml:space="preserve">4.1. </w:t>
      </w:r>
      <w:r>
        <w:rPr>
          <w:lang w:val="fi-FI"/>
        </w:rPr>
        <w:t>VAIHTO-OMAISUUS</w:t>
      </w:r>
    </w:p>
    <w:tbl>
      <w:tblPr>
        <w:tblStyle w:val="TableGrid"/>
        <w:tblW w:w="7371" w:type="dxa"/>
        <w:tblLook w:val="04A0"/>
      </w:tblPr>
      <w:tblGrid>
        <w:gridCol w:w="7371"/>
      </w:tblGrid>
      <w:tr w14:paraId="46ADB23A" w14:textId="77777777" w:rsidTr="00752E09">
        <w:tblPrEx>
          <w:tblW w:w="7371" w:type="dxa"/>
          <w:tblLook w:val="04A0"/>
        </w:tblPrEx>
        <w:tc>
          <w:tcPr>
            <w:tcW w:w="6683" w:type="dxa"/>
            <w:tcBorders>
              <w:top w:val="nil"/>
              <w:left w:val="nil"/>
              <w:bottom w:val="nil"/>
              <w:right w:val="nil"/>
            </w:tcBorders>
            <w:shd w:val="clear" w:color="auto" w:fill="B6C8D1"/>
          </w:tcPr>
          <w:p w:rsidR="00752E09" w:rsidRPr="00CF0773" w14:paraId="6A30F5CE" w14:textId="55A44D0D">
            <w:pPr>
              <w:pStyle w:val="Heading13"/>
              <w:rPr>
                <w:rFonts w:eastAsiaTheme="minorEastAsia" w:cstheme="minorHAnsi"/>
                <w:lang w:val="fi-FI" w:eastAsia="fi-FI"/>
              </w:rPr>
            </w:pPr>
            <w:r w:rsidRPr="00CF0773">
              <w:rPr>
                <w:lang w:val="fi-FI"/>
              </w:rPr>
              <w:t>Laadintaperiaatteet</w:t>
            </w:r>
          </w:p>
          <w:p w:rsidR="00752E09" w:rsidRPr="00752E09" w:rsidP="00752E09" w14:paraId="0E869AAB" w14:textId="4C9AB780">
            <w:pPr>
              <w:pStyle w:val="Bodytext2"/>
              <w:rPr>
                <w:rFonts w:eastAsiaTheme="minorEastAsia"/>
                <w:color w:val="0F172B"/>
                <w:lang w:val="fi-FI" w:eastAsia="fi-FI"/>
              </w:rPr>
            </w:pPr>
            <w:r w:rsidRPr="00752E09">
              <w:rPr>
                <w:rFonts w:eastAsiaTheme="minorEastAsia"/>
                <w:color w:val="0F172B"/>
                <w:lang w:val="fi-FI" w:eastAsia="fi-FI"/>
              </w:rPr>
              <w:t xml:space="preserve">Vaihto-omaisuus arvostetaan hankintamenoon tai nettorealisointiarvoon sen mukaan, kumpi näistä on alempi. Aineet ja tarvikkeet arvostetaan painotettua keskihintaa </w:t>
            </w:r>
            <w:r w:rsidRPr="00CF0773">
              <w:rPr>
                <w:rFonts w:eastAsiaTheme="minorEastAsia"/>
                <w:color w:val="auto"/>
                <w:lang w:val="fi-FI" w:eastAsia="fi-FI"/>
              </w:rPr>
              <w:t xml:space="preserve">tai liukuvaa keskihintaa </w:t>
            </w:r>
            <w:r w:rsidRPr="00752E09">
              <w:rPr>
                <w:rFonts w:eastAsiaTheme="minorEastAsia"/>
                <w:color w:val="0F172B"/>
                <w:lang w:val="fi-FI" w:eastAsia="fi-FI"/>
              </w:rPr>
              <w:t>käyttäen. Valmiiden tuotteiden hankintamenoon sisältyy välittömien h</w:t>
            </w:r>
            <w:r w:rsidRPr="00752E09">
              <w:rPr>
                <w:rFonts w:eastAsiaTheme="minorEastAsia"/>
                <w:color w:val="0F172B"/>
                <w:lang w:val="fi-FI" w:eastAsia="fi-FI"/>
              </w:rPr>
              <w:t xml:space="preserve">ankinta- ja valmistuskustannusten lisäksi osuus hankinnan ja valmistuksen yleiskustannuksista. Keskeneräisten tuotteiden hankintamenoon sisältyvät välittömät työvoima- ja materiaalikustannukset sekä osuus valmistuksen ja hankinnan yleiskustannuksista, kun </w:t>
            </w:r>
            <w:r w:rsidRPr="00752E09">
              <w:rPr>
                <w:rFonts w:eastAsiaTheme="minorEastAsia"/>
                <w:color w:val="0F172B"/>
                <w:lang w:val="fi-FI" w:eastAsia="fi-FI"/>
              </w:rPr>
              <w:t>tuotteiden hallinta ei ole vielä siirtynyt asiakkaalle.</w:t>
            </w:r>
          </w:p>
          <w:p w:rsidR="00752E09" w:rsidRPr="00752E09" w14:paraId="4B5BA8F9" w14:textId="77777777">
            <w:pPr>
              <w:pStyle w:val="Bodytext2"/>
              <w:rPr>
                <w:rFonts w:eastAsiaTheme="minorEastAsia"/>
                <w:color w:val="0F172B"/>
                <w:lang w:val="fi-FI" w:eastAsia="fi-FI"/>
              </w:rPr>
            </w:pPr>
          </w:p>
          <w:p w:rsidR="0011431B" w:rsidP="0011431B" w14:paraId="1BA2606E" w14:textId="77777777">
            <w:pPr>
              <w:pStyle w:val="Heading13"/>
              <w:rPr>
                <w:rFonts w:eastAsiaTheme="minorEastAsia" w:cstheme="minorHAnsi"/>
                <w:lang w:val="fi-FI" w:eastAsia="fi-FI"/>
              </w:rPr>
            </w:pPr>
            <w:r>
              <w:rPr>
                <w:lang w:val="fi-FI"/>
              </w:rPr>
              <w:t>Kirjanpidolliset arviot ja harkinnat</w:t>
            </w:r>
          </w:p>
          <w:p w:rsidR="00752E09" w:rsidRPr="00752E09" w14:paraId="1A86F690" w14:textId="14AA621D">
            <w:pPr>
              <w:pStyle w:val="Bodytext2"/>
              <w:rPr>
                <w:rFonts w:eastAsiaTheme="minorEastAsia"/>
                <w:color w:val="0F172B"/>
                <w:lang w:val="fi-FI" w:eastAsia="fi-FI"/>
              </w:rPr>
            </w:pPr>
            <w:r w:rsidRPr="00752E09">
              <w:rPr>
                <w:rFonts w:eastAsiaTheme="minorEastAsia"/>
                <w:color w:val="0F172B"/>
                <w:lang w:val="fi-FI" w:eastAsia="fi-FI"/>
              </w:rPr>
              <w:t>Epäkurantista ja liiallisesta varastosta johtuva vaihto-omaisuuden arvonalen</w:t>
            </w:r>
            <w:r>
              <w:rPr>
                <w:rFonts w:eastAsiaTheme="minorEastAsia"/>
                <w:color w:val="0F172B"/>
                <w:lang w:val="fi-FI" w:eastAsia="fi-FI"/>
              </w:rPr>
              <w:t>tumise</w:t>
            </w:r>
            <w:r w:rsidRPr="00752E09">
              <w:rPr>
                <w:rFonts w:eastAsiaTheme="minorEastAsia"/>
                <w:color w:val="0F172B"/>
                <w:lang w:val="fi-FI" w:eastAsia="fi-FI"/>
              </w:rPr>
              <w:t>n määrä perustuu johdon parhaaseen arvioon tilinpäätöspäivänä. Arvio pohjautuu an</w:t>
            </w:r>
            <w:r w:rsidRPr="00752E09">
              <w:rPr>
                <w:rFonts w:eastAsiaTheme="minorEastAsia"/>
                <w:color w:val="0F172B"/>
                <w:lang w:val="fi-FI" w:eastAsia="fi-FI"/>
              </w:rPr>
              <w:t>alyysiin vaihto-omaisuuden vanhentumisesta, kiertonopeudesta ja rakenteesta verrattuna ennakoituun tulevaan käyttöön.</w:t>
            </w:r>
          </w:p>
        </w:tc>
      </w:tr>
    </w:tbl>
    <w:p w:rsidR="00752E09" w:rsidRPr="00CF0773" w:rsidP="00752E09" w14:paraId="109B3297" w14:textId="77777777">
      <w:pPr>
        <w:pStyle w:val="Bodytext2"/>
        <w:rPr>
          <w:color w:val="0F172B"/>
          <w:lang w:val="fi-FI"/>
        </w:rPr>
      </w:pPr>
    </w:p>
    <w:tbl>
      <w:tblPr>
        <w:tblStyle w:val="TableNormal"/>
        <w:tblCaption w:val="table_inventories"/>
        <w:tblDescription w:val="19. Inventories"/>
        <w:tblW w:w="7320" w:type="dxa"/>
        <w:tblLayout w:type="fixed"/>
        <w:tblLook w:val="0600"/>
      </w:tblPr>
      <w:tblGrid>
        <w:gridCol w:w="4830"/>
        <w:gridCol w:w="1245"/>
        <w:gridCol w:w="1245"/>
      </w:tblGrid>
      <w:tr>
        <w:tblPrEx>
          <w:tblW w:w="7320" w:type="dxa"/>
          <w:tblLayout w:type="fixed"/>
          <w:tblLook w:val="0600"/>
        </w:tblPrEx>
        <w:trPr>
          <w:trHeight w:hRule="exact" w:val="240"/>
        </w:trPr>
        <w:tc>
          <w:tcPr>
            <w:tcW w:w="48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Aineet ja tarvikkeet</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453</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Keskeneräiset tuotteet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Valmiit tuotteet ja tavarat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Maksetut ennakot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62</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1 192</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1 365</w:t>
            </w:r>
          </w:p>
        </w:tc>
      </w:tr>
    </w:tbl>
    <w:p w:rsidR="00752E09" w:rsidRPr="00CF0773" w:rsidP="00752E09" w14:paraId="22114A35" w14:textId="77777777">
      <w:pPr>
        <w:pStyle w:val="Bodytext2"/>
        <w:rPr>
          <w:color w:val="0F172B"/>
          <w:lang w:val="fi-FI"/>
        </w:rPr>
      </w:pPr>
    </w:p>
    <w:p w:rsidR="00752E09" w:rsidP="00752E09" w14:paraId="5A0C849E" w14:textId="4D3C066A">
      <w:pPr>
        <w:pStyle w:val="Bodytext2"/>
        <w:rPr>
          <w:color w:val="0F172B"/>
          <w:lang w:val="fi-FI"/>
        </w:rPr>
      </w:pPr>
      <w:r w:rsidRPr="00752E09">
        <w:rPr>
          <w:color w:val="0F172B"/>
          <w:lang w:val="fi-FI"/>
        </w:rPr>
        <w:t>Konsernin tuloslaskelmaan on 20</w:t>
      </w:r>
      <w:r>
        <w:rPr>
          <w:color w:val="0F172B"/>
          <w:lang w:val="fi-FI"/>
        </w:rPr>
        <w:t>20</w:t>
      </w:r>
      <w:r w:rsidRPr="00752E09">
        <w:rPr>
          <w:color w:val="0F172B"/>
          <w:lang w:val="fi-FI"/>
        </w:rPr>
        <w:t xml:space="preserve"> kirjattu </w:t>
      </w:r>
      <w:r>
        <w:rPr>
          <w:color w:val="0F172B"/>
          <w:lang w:val="fi-FI"/>
        </w:rPr>
        <w:t>24</w:t>
      </w:r>
      <w:r w:rsidRPr="00752E09">
        <w:rPr>
          <w:color w:val="0F172B"/>
          <w:lang w:val="fi-FI"/>
        </w:rPr>
        <w:t xml:space="preserve"> milj. euron (</w:t>
      </w:r>
      <w:r>
        <w:rPr>
          <w:color w:val="0F172B"/>
          <w:lang w:val="fi-FI"/>
        </w:rPr>
        <w:t>4</w:t>
      </w:r>
      <w:r w:rsidRPr="00752E09">
        <w:rPr>
          <w:color w:val="0F172B"/>
          <w:lang w:val="fi-FI"/>
        </w:rPr>
        <w:t>) alaskirjaus liittyen vanhentuneeseen vaihto-omaisu</w:t>
      </w:r>
      <w:r w:rsidRPr="00752E09">
        <w:rPr>
          <w:color w:val="0F172B"/>
          <w:lang w:val="fi-FI"/>
        </w:rPr>
        <w:t xml:space="preserve">uteen. </w:t>
      </w:r>
      <w:r w:rsidRPr="008D481A">
        <w:rPr>
          <w:color w:val="0F172B"/>
          <w:lang w:val="fi-FI"/>
        </w:rPr>
        <w:t xml:space="preserve">Myytävissä oleviin omaisuuseriin liittyvän vaihto-omaisuuden arvo on </w:t>
      </w:r>
      <w:r>
        <w:rPr>
          <w:color w:val="0F172B"/>
          <w:lang w:val="fi-FI"/>
        </w:rPr>
        <w:t xml:space="preserve">23 </w:t>
      </w:r>
      <w:r w:rsidRPr="008D481A">
        <w:rPr>
          <w:color w:val="0F172B"/>
          <w:lang w:val="fi-FI"/>
        </w:rPr>
        <w:t>milj. euroa (18)</w:t>
      </w:r>
      <w:r>
        <w:rPr>
          <w:color w:val="0F172B"/>
          <w:lang w:val="fi-FI"/>
        </w:rPr>
        <w:t>.</w:t>
      </w:r>
    </w:p>
    <w:p w:rsidR="00422E20" w:rsidP="00752E09" w14:paraId="12CEE87A" w14:textId="26B94D3D">
      <w:pPr>
        <w:pStyle w:val="Bodytext2"/>
        <w:rPr>
          <w:color w:val="0F172B"/>
          <w:lang w:val="fi-FI"/>
        </w:rPr>
      </w:pPr>
    </w:p>
    <w:p w:rsidR="00422E20" w:rsidRPr="00752E09" w:rsidP="00752E09" w14:paraId="2DD4EA7D" w14:textId="64F289E2">
      <w:pPr>
        <w:pStyle w:val="Bodytext2"/>
        <w:rPr>
          <w:color w:val="0F172B"/>
          <w:lang w:val="fi-FI"/>
        </w:rPr>
      </w:pPr>
      <w:r w:rsidRPr="00422E20">
        <w:rPr>
          <w:color w:val="0F172B"/>
          <w:lang w:val="fi-FI"/>
        </w:rPr>
        <w:t>Vaikka COVID-19</w:t>
      </w:r>
      <w:r>
        <w:rPr>
          <w:color w:val="0F172B"/>
          <w:lang w:val="fi-FI"/>
        </w:rPr>
        <w:t xml:space="preserve"> </w:t>
      </w:r>
      <w:r w:rsidRPr="00422E20">
        <w:rPr>
          <w:color w:val="0F172B"/>
          <w:lang w:val="fi-FI"/>
        </w:rPr>
        <w:t>-pandemia on jossain määrin vaikuttanut varaosamyynnin volyymiin, vaikutus ei kuitenkaan ole niin merkittävä, että se nostaisi vaihto-omaisuuden arvostamiseen luontaisesti liittyvää riskiä. Tilausten peruutukset ovat pysytelleet lähestulkoon konsernin norm</w:t>
      </w:r>
      <w:r w:rsidRPr="00422E20">
        <w:rPr>
          <w:color w:val="0F172B"/>
          <w:lang w:val="fi-FI"/>
        </w:rPr>
        <w:t>aalilla tasolla. Lisäksi konserni turvaa keskeneräisistä tuotteista kerrytettävissä olevaa tuloa asiakkailta perittävillä ennakkomaksuilla.</w:t>
      </w:r>
    </w:p>
    <w:p/>
    <w:p w:rsidR="00734592" w:rsidRPr="00734592" w:rsidP="00734592" w14:paraId="08AAA1A7" w14:textId="57F70A8A">
      <w:pPr>
        <w:pStyle w:val="Heading12"/>
        <w:rPr>
          <w:lang w:val="fi-FI"/>
        </w:rPr>
      </w:pPr>
      <w:bookmarkStart w:id="1138" w:name="RG_MARKER_4728"/>
      <w:r w:rsidRPr="00734592">
        <w:rPr>
          <w:lang w:val="fi-FI"/>
        </w:rPr>
        <w:t xml:space="preserve">4.2. MYYNTISAAMISET JA SOPIMUKSEEN PERUSTUVAT VARAT JA </w:t>
      </w:r>
      <w:bookmarkEnd w:id="1138"/>
      <w:r>
        <w:rPr>
          <w:lang w:val="fi-FI"/>
        </w:rPr>
        <w:t>VELAT</w:t>
      </w:r>
    </w:p>
    <w:tbl>
      <w:tblPr>
        <w:tblStyle w:val="TableGrid"/>
        <w:tblW w:w="7371" w:type="dxa"/>
        <w:tblLook w:val="04A0"/>
      </w:tblPr>
      <w:tblGrid>
        <w:gridCol w:w="7371"/>
      </w:tblGrid>
      <w:tr w14:paraId="216DE6A8" w14:textId="77777777" w:rsidTr="00734592">
        <w:tblPrEx>
          <w:tblW w:w="7371" w:type="dxa"/>
          <w:tblLook w:val="04A0"/>
        </w:tblPrEx>
        <w:tc>
          <w:tcPr>
            <w:tcW w:w="6683" w:type="dxa"/>
            <w:tcBorders>
              <w:top w:val="nil"/>
              <w:left w:val="nil"/>
              <w:bottom w:val="nil"/>
              <w:right w:val="nil"/>
            </w:tcBorders>
            <w:shd w:val="clear" w:color="auto" w:fill="B6C8D1"/>
          </w:tcPr>
          <w:p w:rsidR="00734592" w:rsidRPr="004977E7" w:rsidP="00734592" w14:paraId="150843F6" w14:textId="653F49AF">
            <w:pPr>
              <w:pStyle w:val="Heading13"/>
              <w:rPr>
                <w:lang w:val="fi-FI" w:eastAsia="fi-FI"/>
              </w:rPr>
            </w:pPr>
            <w:r w:rsidRPr="004977E7">
              <w:rPr>
                <w:lang w:val="fi-FI" w:eastAsia="fi-FI"/>
              </w:rPr>
              <w:t>Laadintaperiaatteet</w:t>
            </w:r>
          </w:p>
          <w:p w:rsidR="00585537" w:rsidP="00585537" w14:paraId="39527C9F" w14:textId="112DA8AF">
            <w:pPr>
              <w:pStyle w:val="Bodytext2"/>
              <w:rPr>
                <w:rFonts w:eastAsiaTheme="minorEastAsia"/>
                <w:lang w:val="fi-FI" w:eastAsia="fi-FI"/>
              </w:rPr>
            </w:pPr>
            <w:r w:rsidRPr="00E44F77">
              <w:rPr>
                <w:lang w:val="fi-FI" w:eastAsia="fi-FI"/>
              </w:rPr>
              <w:t>Myyntisaami</w:t>
            </w:r>
            <w:r w:rsidRPr="00E44F77" w:rsidR="007A2759">
              <w:rPr>
                <w:lang w:val="fi-FI" w:eastAsia="fi-FI"/>
              </w:rPr>
              <w:t>nen</w:t>
            </w:r>
            <w:r w:rsidRPr="00E44F77">
              <w:rPr>
                <w:lang w:val="fi-FI" w:eastAsia="fi-FI"/>
              </w:rPr>
              <w:t xml:space="preserve"> kirjataan, kun oikeus vastikkeeseen on </w:t>
            </w:r>
            <w:r w:rsidRPr="00E44F77" w:rsidR="007A2759">
              <w:rPr>
                <w:lang w:val="fi-FI" w:eastAsia="fi-FI"/>
              </w:rPr>
              <w:t xml:space="preserve">ehdoton. Konsernin myyntisaamiset kirjataan jaksotettuun hankintamenoon, joka on alkuperäinen laskutusarvo vähennettynä arvon alentumisesta johtuvalla vähennyserällä. </w:t>
            </w:r>
            <w:r w:rsidRPr="00E44F77" w:rsidR="007A2759">
              <w:rPr>
                <w:rFonts w:eastAsiaTheme="minorEastAsia"/>
                <w:lang w:val="fi-FI" w:eastAsia="fi-FI"/>
              </w:rPr>
              <w:t>Luottoriskin kohoamista arvioidaan jaksotettuun hankintamenoon kirjattavien sijoitusten ja muiden saamisten osalta tilinpäätöspäivänä. Sovellettava menetelmä määritetään luottoriskin mahdollisen kohoamisen perusteella</w:t>
            </w:r>
            <w:r w:rsidRPr="00624596" w:rsidR="007A2759">
              <w:rPr>
                <w:rFonts w:eastAsiaTheme="minorEastAsia"/>
                <w:lang w:val="fi-FI" w:eastAsia="fi-FI"/>
              </w:rPr>
              <w:t xml:space="preserve">. </w:t>
            </w:r>
            <w:r w:rsidRPr="00624596">
              <w:rPr>
                <w:rFonts w:eastAsiaTheme="minorEastAsia"/>
                <w:lang w:val="fi-FI" w:eastAsia="fi-FI"/>
              </w:rPr>
              <w:t>Kun merkittävää luottoriskin kohoamista ei ole</w:t>
            </w:r>
            <w:r>
              <w:rPr>
                <w:rFonts w:eastAsiaTheme="minorEastAsia"/>
                <w:lang w:val="fi-FI" w:eastAsia="fi-FI"/>
              </w:rPr>
              <w:t xml:space="preserve">, arvioidaan </w:t>
            </w:r>
            <w:r w:rsidRPr="00585537">
              <w:rPr>
                <w:rFonts w:eastAsiaTheme="minorEastAsia"/>
                <w:lang w:val="fi-FI" w:eastAsia="fi-FI"/>
              </w:rPr>
              <w:t xml:space="preserve">tappiota koskeva vähennyserä </w:t>
            </w:r>
            <w:r>
              <w:rPr>
                <w:rFonts w:eastAsiaTheme="minorEastAsia"/>
                <w:lang w:val="fi-FI" w:eastAsia="fi-FI"/>
              </w:rPr>
              <w:t xml:space="preserve">raportointipäivänä siihen </w:t>
            </w:r>
            <w:r w:rsidRPr="00585537">
              <w:rPr>
                <w:rFonts w:eastAsiaTheme="minorEastAsia"/>
                <w:lang w:val="fi-FI" w:eastAsia="fi-FI"/>
              </w:rPr>
              <w:t>määrään,</w:t>
            </w:r>
            <w:r>
              <w:rPr>
                <w:rFonts w:eastAsiaTheme="minorEastAsia"/>
                <w:lang w:val="fi-FI" w:eastAsia="fi-FI"/>
              </w:rPr>
              <w:t xml:space="preserve"> </w:t>
            </w:r>
            <w:r w:rsidRPr="00585537">
              <w:rPr>
                <w:rFonts w:eastAsiaTheme="minorEastAsia"/>
                <w:lang w:val="fi-FI" w:eastAsia="fi-FI"/>
              </w:rPr>
              <w:t>jok</w:t>
            </w:r>
            <w:r w:rsidRPr="00585537">
              <w:rPr>
                <w:rFonts w:eastAsiaTheme="minorEastAsia"/>
                <w:lang w:val="fi-FI" w:eastAsia="fi-FI"/>
              </w:rPr>
              <w:t>a vastaa koko voimassaoloajalta odotettavissa olevia luottotappioita</w:t>
            </w:r>
            <w:r>
              <w:rPr>
                <w:rFonts w:eastAsiaTheme="minorEastAsia"/>
                <w:lang w:val="fi-FI" w:eastAsia="fi-FI"/>
              </w:rPr>
              <w:t>.</w:t>
            </w:r>
          </w:p>
          <w:p w:rsidR="00585537" w:rsidP="007A2759" w14:paraId="1EA883E7" w14:textId="77777777">
            <w:pPr>
              <w:pStyle w:val="Bodytext2"/>
              <w:rPr>
                <w:rFonts w:eastAsiaTheme="minorEastAsia"/>
                <w:lang w:val="fi-FI" w:eastAsia="fi-FI"/>
              </w:rPr>
            </w:pPr>
          </w:p>
          <w:p w:rsidR="00624596" w:rsidRPr="0012573E" w:rsidP="00624596" w14:paraId="54C34A92" w14:textId="50466648">
            <w:pPr>
              <w:pStyle w:val="Bodytext2"/>
              <w:rPr>
                <w:rFonts w:eastAsiaTheme="minorEastAsia"/>
                <w:lang w:val="fi-FI" w:eastAsia="fi-FI"/>
              </w:rPr>
            </w:pPr>
            <w:r w:rsidRPr="00624596">
              <w:rPr>
                <w:rFonts w:eastAsiaTheme="minorEastAsia"/>
                <w:lang w:val="fi-FI" w:eastAsia="fi-FI"/>
              </w:rPr>
              <w:t>Myyntisaamisten ja</w:t>
            </w:r>
            <w:r>
              <w:rPr>
                <w:rFonts w:eastAsiaTheme="minorEastAsia"/>
                <w:lang w:val="fi-FI" w:eastAsia="fi-FI"/>
              </w:rPr>
              <w:t xml:space="preserve"> sopimukseen perustuvien varojen </w:t>
            </w:r>
            <w:r w:rsidRPr="00624596">
              <w:rPr>
                <w:rFonts w:eastAsiaTheme="minorEastAsia"/>
                <w:lang w:val="fi-FI" w:eastAsia="fi-FI"/>
              </w:rPr>
              <w:t>osalta käytetään yksinkertaistettua mallia, jossa luottotappioiden arvioitu määrä perustuu saamis</w:t>
            </w:r>
            <w:r w:rsidR="00A67995">
              <w:rPr>
                <w:rFonts w:eastAsiaTheme="minorEastAsia"/>
                <w:lang w:val="fi-FI" w:eastAsia="fi-FI"/>
              </w:rPr>
              <w:t>ista niide</w:t>
            </w:r>
            <w:r w:rsidRPr="00624596">
              <w:rPr>
                <w:rFonts w:eastAsiaTheme="minorEastAsia"/>
                <w:lang w:val="fi-FI" w:eastAsia="fi-FI"/>
              </w:rPr>
              <w:t xml:space="preserve">n </w:t>
            </w:r>
            <w:r>
              <w:rPr>
                <w:rFonts w:eastAsiaTheme="minorEastAsia"/>
                <w:lang w:val="fi-FI" w:eastAsia="fi-FI"/>
              </w:rPr>
              <w:t>voimassaoloaikana</w:t>
            </w:r>
            <w:r w:rsidRPr="00624596">
              <w:rPr>
                <w:rFonts w:eastAsiaTheme="minorEastAsia"/>
                <w:lang w:val="fi-FI" w:eastAsia="fi-FI"/>
              </w:rPr>
              <w:t xml:space="preserve"> odotett</w:t>
            </w:r>
            <w:r>
              <w:rPr>
                <w:rFonts w:eastAsiaTheme="minorEastAsia"/>
                <w:lang w:val="fi-FI" w:eastAsia="fi-FI"/>
              </w:rPr>
              <w:t>uihin</w:t>
            </w:r>
            <w:r w:rsidRPr="00624596">
              <w:rPr>
                <w:rFonts w:eastAsiaTheme="minorEastAsia"/>
                <w:lang w:val="fi-FI" w:eastAsia="fi-FI"/>
              </w:rPr>
              <w:t xml:space="preserve"> luottotappioihin. </w:t>
            </w:r>
            <w:r>
              <w:rPr>
                <w:rFonts w:eastAsiaTheme="minorEastAsia"/>
                <w:lang w:val="fi-FI" w:eastAsia="fi-FI"/>
              </w:rPr>
              <w:t xml:space="preserve">Odotettujen luottotappioiden määrittelyyn konserni käyttää varausmatriisia, jossa saatavat on eroteltu ikäjakauman ja alkuperän perusteella. Konsernilla on tehokas perintäprosessi, mikä alentaa mahdollisten luottotappioiden riskiä. </w:t>
            </w:r>
            <w:r>
              <w:rPr>
                <w:rFonts w:eastAsiaTheme="minorEastAsia"/>
                <w:lang w:val="fi-FI" w:eastAsia="fi-FI"/>
              </w:rPr>
              <w:t>Riskiä pienentävät myös käytössä olevat ennakkomaksut ja maksusitoumukset. Luottotappioasteen määrää arvioitaessa konserni huomioi</w:t>
            </w:r>
            <w:r w:rsidR="00A67995">
              <w:rPr>
                <w:rFonts w:eastAsiaTheme="minorEastAsia"/>
                <w:lang w:val="fi-FI" w:eastAsia="fi-FI"/>
              </w:rPr>
              <w:t xml:space="preserve"> kunkin kategorian osalta kokemuksensa aikaisemmin t</w:t>
            </w:r>
            <w:r>
              <w:rPr>
                <w:rFonts w:eastAsiaTheme="minorEastAsia"/>
                <w:lang w:val="fi-FI" w:eastAsia="fi-FI"/>
              </w:rPr>
              <w:t>oteutunei</w:t>
            </w:r>
            <w:r w:rsidR="00A67995">
              <w:rPr>
                <w:rFonts w:eastAsiaTheme="minorEastAsia"/>
                <w:lang w:val="fi-FI" w:eastAsia="fi-FI"/>
              </w:rPr>
              <w:t>sta</w:t>
            </w:r>
            <w:r>
              <w:rPr>
                <w:rFonts w:eastAsiaTheme="minorEastAsia"/>
                <w:lang w:val="fi-FI" w:eastAsia="fi-FI"/>
              </w:rPr>
              <w:t xml:space="preserve"> luottotappioi</w:t>
            </w:r>
            <w:r w:rsidR="00A67995">
              <w:rPr>
                <w:rFonts w:eastAsiaTheme="minorEastAsia"/>
                <w:lang w:val="fi-FI" w:eastAsia="fi-FI"/>
              </w:rPr>
              <w:t>sta</w:t>
            </w:r>
            <w:r>
              <w:rPr>
                <w:rFonts w:eastAsiaTheme="minorEastAsia"/>
                <w:lang w:val="fi-FI" w:eastAsia="fi-FI"/>
              </w:rPr>
              <w:t xml:space="preserve"> </w:t>
            </w:r>
            <w:r w:rsidR="00A67995">
              <w:rPr>
                <w:rFonts w:eastAsiaTheme="minorEastAsia"/>
                <w:lang w:val="fi-FI" w:eastAsia="fi-FI"/>
              </w:rPr>
              <w:t>sekä oikaisee niitä tulevaisuuteen suuntautuvan makrotaloudellisen datan perusteella.Tämän analyysin pohjalta erääntymättömi</w:t>
            </w:r>
            <w:r w:rsidR="0012573E">
              <w:rPr>
                <w:rFonts w:eastAsiaTheme="minorEastAsia"/>
                <w:lang w:val="fi-FI" w:eastAsia="fi-FI"/>
              </w:rPr>
              <w:t>lle</w:t>
            </w:r>
            <w:r w:rsidR="00A67995">
              <w:rPr>
                <w:rFonts w:eastAsiaTheme="minorEastAsia"/>
                <w:lang w:val="fi-FI" w:eastAsia="fi-FI"/>
              </w:rPr>
              <w:t xml:space="preserve"> </w:t>
            </w:r>
            <w:r w:rsidR="0012573E">
              <w:rPr>
                <w:rFonts w:eastAsiaTheme="minorEastAsia"/>
                <w:lang w:val="fi-FI" w:eastAsia="fi-FI"/>
              </w:rPr>
              <w:t xml:space="preserve">ja enintään 359 päivää erääntyneille myyntisaataville tehdään 0,1%–2,0%:n arvonalentuminen. Lisäksi yli 360 päivää erääntyneiden myyntisaatavien arvonalentuminen arvioidaan saatavakohtaisesti. </w:t>
            </w:r>
            <w:r w:rsidRPr="0012573E">
              <w:rPr>
                <w:rFonts w:eastAsiaTheme="minorEastAsia"/>
                <w:lang w:val="fi-FI" w:eastAsia="fi-FI"/>
              </w:rPr>
              <w:t>Esimerkkejä arvonalentumiseen johtavista tapahtumista ovat vela</w:t>
            </w:r>
            <w:r w:rsidRPr="0012573E">
              <w:rPr>
                <w:rFonts w:eastAsiaTheme="minorEastAsia"/>
                <w:lang w:val="fi-FI" w:eastAsia="fi-FI"/>
              </w:rPr>
              <w:t>llisen vakavat taloudelliset ongelmat ja velallisen todennäköinen konkurssi tai muu taloudellinen järjestely.</w:t>
            </w:r>
          </w:p>
          <w:p w:rsidR="00734592" w14:paraId="76C91313" w14:textId="11C7F916">
            <w:pPr>
              <w:pStyle w:val="Bodytext2"/>
              <w:rPr>
                <w:rFonts w:eastAsiaTheme="minorEastAsia"/>
                <w:lang w:val="fi-FI" w:eastAsia="fi-FI"/>
              </w:rPr>
            </w:pPr>
          </w:p>
          <w:p w:rsidR="00734592" w14:paraId="1AEDBF22" w14:textId="26AA2211">
            <w:pPr>
              <w:pStyle w:val="Bodytext2"/>
              <w:rPr>
                <w:rFonts w:eastAsiaTheme="minorEastAsia"/>
                <w:lang w:val="fi-FI" w:eastAsia="fi-FI"/>
              </w:rPr>
            </w:pPr>
            <w:r>
              <w:rPr>
                <w:rFonts w:eastAsiaTheme="minorEastAsia"/>
                <w:lang w:val="fi-FI" w:eastAsia="fi-FI"/>
              </w:rPr>
              <w:t>Myyntisaatavat alaskirjataan pysyvästi, kun niitä ei kohtuudella odoteta saatavan.</w:t>
            </w:r>
          </w:p>
          <w:p w:rsidR="0012573E" w14:paraId="67E9B440" w14:textId="0BB4DF6F">
            <w:pPr>
              <w:pStyle w:val="Bodytext2"/>
              <w:rPr>
                <w:rFonts w:eastAsiaTheme="minorEastAsia"/>
                <w:lang w:val="fi-FI" w:eastAsia="fi-FI"/>
              </w:rPr>
            </w:pPr>
          </w:p>
          <w:p w:rsidR="0012573E" w:rsidRPr="0012573E" w14:paraId="34EC532E" w14:textId="00466D59">
            <w:pPr>
              <w:pStyle w:val="Bodytext2"/>
              <w:rPr>
                <w:rFonts w:eastAsiaTheme="minorEastAsia"/>
                <w:lang w:val="fi-FI" w:eastAsia="fi-FI"/>
              </w:rPr>
            </w:pPr>
            <w:r w:rsidRPr="0012573E">
              <w:rPr>
                <w:rFonts w:eastAsiaTheme="minorEastAsia"/>
                <w:lang w:val="fi-FI" w:eastAsia="fi-FI"/>
              </w:rPr>
              <w:t>Konserni voi myydä myyntisaamisten jakamattomia osuuksia sekä</w:t>
            </w:r>
            <w:r w:rsidRPr="0012573E">
              <w:rPr>
                <w:rFonts w:eastAsiaTheme="minorEastAsia"/>
                <w:lang w:val="fi-FI" w:eastAsia="fi-FI"/>
              </w:rPr>
              <w:t xml:space="preserve"> jatkuvasti että kertaluonteisesti rahoitusyhtiöille. Myydyt myyntisaamiset kirjataan pois taseesta, kun ostaja on suorittanut maksun myyntisaamisista ja kun kaikki omistamiseen liittyvät olennaiset riskit ja edut ovat siirtyneet ostajalle. Jos myyntisaami</w:t>
            </w:r>
            <w:r w:rsidRPr="0012573E">
              <w:rPr>
                <w:rFonts w:eastAsiaTheme="minorEastAsia"/>
                <w:lang w:val="fi-FI" w:eastAsia="fi-FI"/>
              </w:rPr>
              <w:t>seen liittyvä omistajuus, riski ja hallintaoikeus eivät ole siirtyneet, kirjataan tällaiset saamiset takaisin taseeseen kauden lopussa.</w:t>
            </w:r>
          </w:p>
          <w:p w:rsidR="00734592" w:rsidRPr="007B744F" w14:paraId="66D4D545" w14:textId="77777777">
            <w:pPr>
              <w:pStyle w:val="Bodytext2"/>
              <w:rPr>
                <w:rFonts w:eastAsiaTheme="minorEastAsia"/>
                <w:lang w:val="fi-FI" w:eastAsia="fi-FI"/>
              </w:rPr>
            </w:pPr>
          </w:p>
          <w:p w:rsidR="004977E7" w:rsidRPr="007B744F" w:rsidP="004977E7" w14:paraId="5AF59782" w14:textId="0C461C5E">
            <w:pPr>
              <w:pStyle w:val="Bodytext2"/>
              <w:rPr>
                <w:color w:val="auto"/>
                <w:lang w:val="fi-FI"/>
              </w:rPr>
            </w:pPr>
            <w:r w:rsidRPr="007B744F">
              <w:rPr>
                <w:color w:val="auto"/>
                <w:lang w:val="fi-FI"/>
              </w:rPr>
              <w:t xml:space="preserve">Sopimukseen perustuvat varat ja velat </w:t>
            </w:r>
            <w:r w:rsidRPr="007B744F" w:rsidR="007B744F">
              <w:rPr>
                <w:color w:val="auto"/>
                <w:lang w:val="fi-FI"/>
              </w:rPr>
              <w:t>liittyvät asiakassopimuksiin</w:t>
            </w:r>
            <w:r w:rsidRPr="007B744F">
              <w:rPr>
                <w:color w:val="auto"/>
                <w:lang w:val="fi-FI"/>
              </w:rPr>
              <w:t>.</w:t>
            </w:r>
          </w:p>
          <w:p w:rsidR="004977E7" w:rsidRPr="004977E7" w:rsidP="004977E7" w14:paraId="3A3267C9" w14:textId="77777777">
            <w:pPr>
              <w:pStyle w:val="Bodytext2"/>
              <w:rPr>
                <w:lang w:val="fi-FI"/>
              </w:rPr>
            </w:pPr>
          </w:p>
          <w:p w:rsidR="004977E7" w:rsidP="004977E7" w14:paraId="1AC2317E" w14:textId="40BC89EE">
            <w:pPr>
              <w:pStyle w:val="Bodytext2"/>
              <w:rPr>
                <w:lang w:val="fi-FI"/>
              </w:rPr>
            </w:pPr>
            <w:r w:rsidRPr="004977E7">
              <w:rPr>
                <w:lang w:val="fi-FI"/>
              </w:rPr>
              <w:t>Kun tavaroiden tai palveluiden hallinta siirretään</w:t>
            </w:r>
            <w:r w:rsidRPr="004977E7">
              <w:rPr>
                <w:lang w:val="fi-FI"/>
              </w:rPr>
              <w:t xml:space="preserve"> asiakkaalle ennen kuin asiakas maksaa vastikkeen, saaminen kirjataan sopimukseen </w:t>
            </w:r>
            <w:r w:rsidR="007B744F">
              <w:rPr>
                <w:lang w:val="fi-FI"/>
              </w:rPr>
              <w:t>perustuvaksi</w:t>
            </w:r>
            <w:r w:rsidRPr="004977E7">
              <w:rPr>
                <w:lang w:val="fi-FI"/>
              </w:rPr>
              <w:t xml:space="preserve"> </w:t>
            </w:r>
            <w:r>
              <w:rPr>
                <w:lang w:val="fi-FI"/>
              </w:rPr>
              <w:t>varak</w:t>
            </w:r>
            <w:r w:rsidRPr="004977E7">
              <w:rPr>
                <w:lang w:val="fi-FI"/>
              </w:rPr>
              <w:t>si</w:t>
            </w:r>
            <w:r w:rsidR="007B744F">
              <w:rPr>
                <w:lang w:val="fi-FI"/>
              </w:rPr>
              <w:t>, joka</w:t>
            </w:r>
            <w:r w:rsidRPr="004977E7">
              <w:rPr>
                <w:lang w:val="fi-FI"/>
              </w:rPr>
              <w:t xml:space="preserve"> käsittää oikeuden tulevaisuudessa saatavaan vastikkeeseen.</w:t>
            </w:r>
            <w:r>
              <w:rPr>
                <w:lang w:val="fi-FI"/>
              </w:rPr>
              <w:t xml:space="preserve"> Sopimukseen perustuvat varat liittyvät ensisijaisesti konsernin oikeuteen saada vastike </w:t>
            </w:r>
            <w:r>
              <w:rPr>
                <w:lang w:val="fi-FI"/>
              </w:rPr>
              <w:t xml:space="preserve">jo luovutetuista tavaroista ja palveluista, joita ei kuitenkaan ole vielä raportointipäivänä laskutettu. Sopimukseen perustuvat varat siirretään </w:t>
            </w:r>
            <w:r w:rsidR="007B744F">
              <w:rPr>
                <w:lang w:val="fi-FI"/>
              </w:rPr>
              <w:t>myynti</w:t>
            </w:r>
            <w:r>
              <w:rPr>
                <w:lang w:val="fi-FI"/>
              </w:rPr>
              <w:t>saamisiin</w:t>
            </w:r>
            <w:r w:rsidR="00E44F77">
              <w:rPr>
                <w:lang w:val="fi-FI"/>
              </w:rPr>
              <w:t xml:space="preserve">, kun oikeus vastikkeeseen on ehdoton. </w:t>
            </w:r>
          </w:p>
          <w:p w:rsidR="004977E7" w:rsidRPr="004977E7" w:rsidP="004977E7" w14:paraId="1A93E7F8" w14:textId="77777777">
            <w:pPr>
              <w:pStyle w:val="Bodytext2"/>
              <w:rPr>
                <w:lang w:val="fi-FI"/>
              </w:rPr>
            </w:pPr>
          </w:p>
          <w:p w:rsidR="004977E7" w:rsidRPr="00E44F77" w14:paraId="3A036661" w14:textId="1E4F8258">
            <w:pPr>
              <w:pStyle w:val="Bodytext2"/>
              <w:rPr>
                <w:lang w:val="fi-FI"/>
              </w:rPr>
            </w:pPr>
            <w:r w:rsidRPr="004977E7">
              <w:rPr>
                <w:lang w:val="fi-FI"/>
              </w:rPr>
              <w:t xml:space="preserve">Kun asiakas maksaa vastikkeen etukäteen tai </w:t>
            </w:r>
            <w:r w:rsidRPr="004977E7">
              <w:rPr>
                <w:lang w:val="fi-FI"/>
              </w:rPr>
              <w:t>vastike erääntyy maksettavaksi ennen kuin sopimuksen mukainen suorit</w:t>
            </w:r>
            <w:r>
              <w:rPr>
                <w:lang w:val="fi-FI"/>
              </w:rPr>
              <w:t xml:space="preserve">evelvoite </w:t>
            </w:r>
            <w:r w:rsidRPr="004977E7">
              <w:rPr>
                <w:lang w:val="fi-FI"/>
              </w:rPr>
              <w:t>täytetään, etukäteen saatu määrä esitetään sopimu</w:t>
            </w:r>
            <w:r w:rsidR="003C1CF2">
              <w:rPr>
                <w:lang w:val="fi-FI"/>
              </w:rPr>
              <w:t xml:space="preserve">kseen perustuvana </w:t>
            </w:r>
            <w:r w:rsidRPr="004977E7">
              <w:rPr>
                <w:lang w:val="fi-FI"/>
              </w:rPr>
              <w:t>velkana</w:t>
            </w:r>
            <w:r w:rsidR="003C1CF2">
              <w:rPr>
                <w:lang w:val="fi-FI"/>
              </w:rPr>
              <w:t xml:space="preserve">, </w:t>
            </w:r>
            <w:r w:rsidR="003C1CF2">
              <w:rPr>
                <w:lang w:val="fi-FI"/>
              </w:rPr>
              <w:t xml:space="preserve">jotka </w:t>
            </w:r>
            <w:r w:rsidRPr="00E44F77">
              <w:rPr>
                <w:lang w:val="fi-FI"/>
              </w:rPr>
              <w:t>kirjataan tuotoiksi, kun konserni suorittaa sopimuksen mukaisen suoritteen.</w:t>
            </w:r>
            <w:r w:rsidRPr="00E44F77" w:rsidR="00E44F77">
              <w:rPr>
                <w:lang w:val="fi-FI"/>
              </w:rPr>
              <w:t xml:space="preserve"> Saadut ennakot ja tuloennakot liittyvät saatuihin maksuihin tai kirjattuja m</w:t>
            </w:r>
            <w:r w:rsidR="00E44F77">
              <w:rPr>
                <w:lang w:val="fi-FI"/>
              </w:rPr>
              <w:t>yyntituloja suurempiin laskutusmääriin.</w:t>
            </w:r>
          </w:p>
          <w:p w:rsidR="00734592" w14:paraId="353E9347" w14:textId="5D84780F">
            <w:pPr>
              <w:pStyle w:val="Bodytext2"/>
              <w:rPr>
                <w:rFonts w:eastAsiaTheme="minorEastAsia"/>
                <w:lang w:val="fi-FI" w:eastAsia="fi-FI"/>
              </w:rPr>
            </w:pPr>
          </w:p>
          <w:p w:rsidR="00CC2C82" w14:paraId="3DFECC90" w14:textId="16E1CF98">
            <w:pPr>
              <w:pStyle w:val="Bodytext2"/>
              <w:rPr>
                <w:rFonts w:eastAsiaTheme="minorEastAsia"/>
                <w:lang w:val="fi-FI" w:eastAsia="fi-FI"/>
              </w:rPr>
            </w:pPr>
          </w:p>
          <w:p w:rsidR="00054E7C" w14:paraId="6FE5C3CC" w14:textId="77777777">
            <w:pPr>
              <w:pStyle w:val="Bodytext2"/>
              <w:rPr>
                <w:rFonts w:eastAsiaTheme="minorEastAsia"/>
                <w:lang w:val="fi-FI" w:eastAsia="fi-FI"/>
              </w:rPr>
            </w:pPr>
          </w:p>
          <w:p w:rsidR="00CC2C82" w:rsidRPr="007B744F" w14:paraId="1005F22E" w14:textId="77777777">
            <w:pPr>
              <w:pStyle w:val="Bodytext2"/>
              <w:rPr>
                <w:rFonts w:eastAsiaTheme="minorEastAsia"/>
                <w:lang w:val="fi-FI" w:eastAsia="fi-FI"/>
              </w:rPr>
            </w:pPr>
          </w:p>
          <w:p w:rsidR="00EF1AF5" w:rsidP="00EF1AF5" w14:paraId="733B4BD5" w14:textId="77777777">
            <w:pPr>
              <w:pStyle w:val="Heading13"/>
              <w:rPr>
                <w:rFonts w:eastAsiaTheme="minorEastAsia" w:cstheme="minorHAnsi"/>
                <w:lang w:val="fi-FI" w:eastAsia="fi-FI"/>
              </w:rPr>
            </w:pPr>
            <w:r>
              <w:rPr>
                <w:lang w:val="fi-FI"/>
              </w:rPr>
              <w:t>Kirjanpidolliset arviot ja harkinnat</w:t>
            </w:r>
          </w:p>
          <w:p w:rsidR="00E44F77" w:rsidRPr="00E44F77" w14:paraId="31DC3E51" w14:textId="4BD85B71">
            <w:pPr>
              <w:pStyle w:val="Bodytext2"/>
              <w:rPr>
                <w:lang w:val="fi-FI"/>
              </w:rPr>
            </w:pPr>
            <w:r w:rsidRPr="00E44F77">
              <w:rPr>
                <w:lang w:val="fi-FI"/>
              </w:rPr>
              <w:t>Arvioidut luottotappiovaraukset perustuvat johdon parhaaseen näkemykseen</w:t>
            </w:r>
            <w:r>
              <w:rPr>
                <w:lang w:val="fi-FI"/>
              </w:rPr>
              <w:t>, mikä kattaa kokemuksen menneestä sekä tulevaisuuteen suuntautuvan ymmärryksen asiakkaiden maksukäyttäytymisestä ja taloudellisesta tilanteesta.</w:t>
            </w:r>
          </w:p>
          <w:p w:rsidR="00734592" w:rsidRPr="00E44F77" w14:paraId="5210F5CA" w14:textId="77777777">
            <w:pPr>
              <w:pStyle w:val="Bodytext2"/>
              <w:rPr>
                <w:rFonts w:eastAsiaTheme="minorEastAsia"/>
                <w:lang w:val="fi-FI" w:eastAsia="fi-FI"/>
              </w:rPr>
            </w:pPr>
          </w:p>
          <w:p w:rsidR="00734592" w:rsidRPr="007B744F" w:rsidP="00E44F77" w14:paraId="6FB22CCF" w14:textId="35CD9E29">
            <w:pPr>
              <w:pStyle w:val="Bodytext2"/>
              <w:rPr>
                <w:rFonts w:eastAsiaTheme="minorEastAsia"/>
                <w:lang w:val="fi-FI" w:eastAsia="fi-FI"/>
              </w:rPr>
            </w:pPr>
            <w:r w:rsidRPr="00E44F77">
              <w:rPr>
                <w:lang w:val="fi-FI"/>
              </w:rPr>
              <w:t xml:space="preserve">Asiakassopimuksiin liittyvien maksujen saamisen todennäköisyyden arvioiminen edellyttää harkintaa, ja se voi </w:t>
            </w:r>
            <w:r w:rsidRPr="00E44F77">
              <w:rPr>
                <w:lang w:val="fi-FI"/>
              </w:rPr>
              <w:t>vaikuttaa tulojen kirjaamisen ajankohtaan ja määrään.</w:t>
            </w:r>
          </w:p>
        </w:tc>
      </w:tr>
    </w:tbl>
    <w:p w:rsidR="00734592" w:rsidP="00734592" w14:paraId="10366C6A" w14:textId="24945939">
      <w:pPr>
        <w:pStyle w:val="Bodytext2"/>
        <w:rPr>
          <w:lang w:val="fi-FI"/>
        </w:rPr>
      </w:pPr>
    </w:p>
    <w:p w:rsidR="00734592" w:rsidRPr="00734592" w:rsidP="00734592" w14:paraId="12E9C686" w14:textId="3F499671">
      <w:pPr>
        <w:pStyle w:val="Heading13"/>
        <w:rPr>
          <w:lang w:val="fi-FI"/>
        </w:rPr>
      </w:pPr>
      <w:r w:rsidRPr="00734592">
        <w:rPr>
          <w:lang w:val="fi-FI"/>
        </w:rPr>
        <w:t>Sopimukseen perustuvat varat ja ve</w:t>
      </w:r>
      <w:r>
        <w:rPr>
          <w:lang w:val="fi-FI"/>
        </w:rPr>
        <w:t>lat</w:t>
      </w:r>
    </w:p>
    <w:p w:rsidR="00734592" w:rsidRPr="00734592" w:rsidP="00734592" w14:paraId="2D71B602" w14:textId="77777777">
      <w:pPr>
        <w:pStyle w:val="Bodytext2"/>
        <w:rPr>
          <w:lang w:val="fi-FI"/>
        </w:rPr>
      </w:pPr>
    </w:p>
    <w:tbl>
      <w:tblPr>
        <w:tblStyle w:val="TableNormal"/>
        <w:tblCaption w:val="table_contract_balances"/>
        <w:tblDescription w:val="20. Sopimukseen perustuvat taseeseen merkityt määrät"/>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953</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1 255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Sopimukseen perustuvat varat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Sopimukseen perustuvat velat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Saadut ennakot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Jaksotetut tuotot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Myyntisaamiset ja sopimukseen perustuvat varat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1 311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Sopimukseen perustuvat velat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aikana tuloutetut myyntituotot, jotka olivat mukana sopimukseen perustuvissa veloissa 1.1.</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Täyttämättömät suoritevelvoitteet, kaikki tulotyypit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6 748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7 427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josta keskeneräisiin projekteihin ja sopimuksiin liittyvät jäljellä olevat suoritevelvoitteet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3 898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3 959</w:t>
            </w:r>
          </w:p>
        </w:tc>
      </w:tr>
    </w:tbl>
    <w:p w:rsidR="00734592" w:rsidRPr="00CC2C82" w:rsidP="002968CD" w14:paraId="4AE34680" w14:textId="77777777">
      <w:pPr>
        <w:pStyle w:val="Bodytext2"/>
        <w:rPr>
          <w:lang w:val="fi-FI"/>
        </w:rPr>
      </w:pPr>
    </w:p>
    <w:p w:rsidR="00734592" w:rsidRPr="00CC2C82" w:rsidP="002968CD" w14:paraId="06354E7E" w14:textId="151F9C9C">
      <w:pPr>
        <w:pStyle w:val="Bodytext2"/>
        <w:rPr>
          <w:lang w:val="fi-FI"/>
        </w:rPr>
      </w:pPr>
      <w:r w:rsidRPr="00CC2C82">
        <w:rPr>
          <w:lang w:val="fi-FI"/>
        </w:rPr>
        <w:t>Sopimuks</w:t>
      </w:r>
      <w:r>
        <w:rPr>
          <w:lang w:val="fi-FI"/>
        </w:rPr>
        <w:t>ee</w:t>
      </w:r>
      <w:r w:rsidRPr="00CC2C82">
        <w:rPr>
          <w:lang w:val="fi-FI"/>
        </w:rPr>
        <w:t xml:space="preserve">n perustuvat varat ja velat liittyvät pitkäaikaisiin huoltosopimuksiin ja ajan kuluessa tuloutettaviin projekteihin, kuten kaasuratkaisujen toimitussopimuksiin, integroituihin ratkaisuihin, laivan suunnitteluun sekä voimalaratkaisuihin. </w:t>
      </w:r>
      <w:r w:rsidRPr="00CC2C82" w:rsidR="00DD0BA3">
        <w:rPr>
          <w:lang w:val="fi-FI"/>
        </w:rPr>
        <w:t>Sopimuks</w:t>
      </w:r>
      <w:r>
        <w:rPr>
          <w:lang w:val="fi-FI"/>
        </w:rPr>
        <w:t>ee</w:t>
      </w:r>
      <w:r w:rsidRPr="00CC2C82" w:rsidR="00DD0BA3">
        <w:rPr>
          <w:lang w:val="fi-FI"/>
        </w:rPr>
        <w:t xml:space="preserve">n perustuvien varojen vähennys liittyy tavanomaiseen liiketoiminnan vaihteluun etenkin Energy-liiketoiminnan projekteissa. </w:t>
      </w:r>
      <w:r w:rsidRPr="00CC2C82">
        <w:rPr>
          <w:lang w:val="fi-FI"/>
        </w:rPr>
        <w:t>Sopimukseen perustuvien velkojen lisäys tilikaudella 2020 johtuu tavanomaisen liiketoiminnan vaihtelusta</w:t>
      </w:r>
      <w:r w:rsidRPr="00CC2C82" w:rsidR="00DD0BA3">
        <w:rPr>
          <w:lang w:val="fi-FI"/>
        </w:rPr>
        <w:t xml:space="preserve"> etenkin Marine Systems </w:t>
      </w:r>
      <w:r w:rsidRPr="00CC2C82">
        <w:rPr>
          <w:lang w:val="fi-FI"/>
        </w:rPr>
        <w:t>-</w:t>
      </w:r>
      <w:r w:rsidRPr="00CC2C82" w:rsidR="00DD0BA3">
        <w:rPr>
          <w:lang w:val="fi-FI"/>
        </w:rPr>
        <w:t>liiketoiminnan projekteissa</w:t>
      </w:r>
      <w:r w:rsidRPr="00CC2C82">
        <w:rPr>
          <w:lang w:val="fi-FI"/>
        </w:rPr>
        <w:t>.</w:t>
      </w:r>
    </w:p>
    <w:p w:rsidR="00734592" w:rsidRPr="00CC2C82" w:rsidP="002968CD" w14:paraId="11758E1D" w14:textId="5780C903">
      <w:pPr>
        <w:pStyle w:val="Bodytext2"/>
        <w:rPr>
          <w:lang w:val="fi-FI"/>
        </w:rPr>
      </w:pPr>
    </w:p>
    <w:p w:rsidR="002968CD" w:rsidRPr="00CC2C82" w:rsidP="002968CD" w14:paraId="02AC524F" w14:textId="1632EBE1">
      <w:pPr>
        <w:pStyle w:val="Bodytext2"/>
        <w:rPr>
          <w:lang w:val="fi-FI"/>
        </w:rPr>
      </w:pPr>
      <w:r w:rsidRPr="00CC2C82">
        <w:rPr>
          <w:lang w:val="fi-FI"/>
        </w:rPr>
        <w:t>COVID-19 -pandemian aiheuttaman epävarmuuden seurauksena Wärtsilän saataviin liittyvää luottoriskiä ja kerrytettävissä oleviin sopimuksiin perustuvia varoja on tarkastettu. Asiakkaiden maksukäyttäytymisessä ei ole huomattu merkittäviä muut</w:t>
      </w:r>
      <w:r w:rsidRPr="00CC2C82">
        <w:rPr>
          <w:lang w:val="fi-FI"/>
        </w:rPr>
        <w:t>oksia, joten odotettujen luottotapioiden kirjaamiseen on käytetty samoja periaatteita kuin vuosikertomuksessa 2019. Myyntisaatavien perintää on korostettu ja kerrytettävien varojen saatavuuteen liittyvän riskin ei katsota merkittävästi kasvaneen. Tilinpäät</w:t>
      </w:r>
      <w:r w:rsidRPr="00CC2C82">
        <w:rPr>
          <w:lang w:val="fi-FI"/>
        </w:rPr>
        <w:t>öspäivänä konserni ei ole saanut huomattavia peruutuksia projekteihin tai pitkäaikaisiin sopimuksiin. Tilausten peruutukset ja lykkäykset ovat pysytelleet lähestulkoon konsernin normaalilla tasolla.</w:t>
      </w:r>
    </w:p>
    <w:p w:rsidR="002968CD" w:rsidRPr="00734592" w:rsidP="00734592" w14:paraId="12C62B88" w14:textId="77777777">
      <w:pPr>
        <w:pStyle w:val="Bodytext2"/>
        <w:rPr>
          <w:lang w:val="fi-FI"/>
        </w:rPr>
      </w:pPr>
    </w:p>
    <w:p w:rsidR="00734592" w:rsidRPr="00624596" w:rsidP="00734592" w14:paraId="4610DC1D" w14:textId="37980A36">
      <w:pPr>
        <w:pStyle w:val="Heading13"/>
        <w:rPr>
          <w:lang w:val="fi-FI"/>
        </w:rPr>
      </w:pPr>
      <w:r w:rsidRPr="00624596">
        <w:rPr>
          <w:lang w:val="fi-FI"/>
        </w:rPr>
        <w:t>Myyntisaamisten ikäjakauma</w:t>
      </w:r>
    </w:p>
    <w:p w:rsidR="00734592" w:rsidRPr="00624596" w:rsidP="00734592" w14:paraId="0FD9220D" w14:textId="77777777">
      <w:pPr>
        <w:pStyle w:val="Bodytext2"/>
        <w:rPr>
          <w:lang w:val="fi-FI"/>
        </w:rPr>
      </w:pPr>
    </w:p>
    <w:tbl>
      <w:tblPr>
        <w:tblStyle w:val="TableNormal"/>
        <w:tblCaption w:val="table_aging_trade_receivables"/>
        <w:tblW w:w="7350" w:type="dxa"/>
        <w:tblLayout w:type="fixed"/>
        <w:tblLook w:val="0600"/>
      </w:tblPr>
      <w:tblGrid>
        <w:gridCol w:w="3030"/>
        <w:gridCol w:w="1080"/>
        <w:gridCol w:w="1080"/>
        <w:gridCol w:w="1080"/>
        <w:gridCol w:w="1080"/>
      </w:tblGrid>
      <w:tr>
        <w:tblPrEx>
          <w:tblW w:w="7350" w:type="dxa"/>
          <w:tblLayout w:type="fixed"/>
          <w:tblLook w:val="0600"/>
        </w:tblPrEx>
        <w:trPr>
          <w:trHeight w:hRule="exact" w:val="225"/>
        </w:trPr>
        <w:tc>
          <w:tcPr>
            <w:tcW w:w="303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435"/>
        </w:trPr>
        <w:tc>
          <w:tcPr>
            <w:tcW w:w="30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Myynti-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saamiset</w:t>
            </w:r>
          </w:p>
        </w:tc>
        <w:tc>
          <w:tcPr>
            <w:tcW w:w="108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joista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alaskirjattu</w:t>
            </w:r>
          </w:p>
        </w:tc>
        <w:tc>
          <w:tcPr>
            <w:tcW w:w="108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Myynti-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saamiset</w:t>
            </w:r>
          </w:p>
        </w:tc>
        <w:tc>
          <w:tcPr>
            <w:tcW w:w="108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joista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alaskirjattu</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Erääntymättömät saamiset </w:t>
            </w: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657</w:t>
            </w: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788</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1–30 päivää erääntyneet </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112</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6E6"/>
                <w:sz w:val="13"/>
                <w:u w:val="none"/>
                <w:vertAlign w:val="baseline"/>
              </w:rPr>
            </w:pPr>
            <w:r>
              <w:rPr>
                <w:rFonts w:ascii="Arial" w:eastAsia="Arial" w:hAnsi="Arial" w:cs="Arial"/>
                <w:b/>
                <w:i w:val="0"/>
                <w:strike w:val="0"/>
                <w:color w:val="E7E6E6"/>
                <w:sz w:val="13"/>
                <w:u w:val="none"/>
                <w:vertAlign w:val="baseline"/>
              </w:rPr>
              <w:t>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149</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FFFFFF"/>
                <w:sz w:val="13"/>
                <w:u w:val="none"/>
                <w:vertAlign w:val="baseline"/>
              </w:rPr>
            </w:pPr>
            <w:r>
              <w:rPr>
                <w:rFonts w:ascii="Arial" w:eastAsia="Arial" w:hAnsi="Arial" w:cs="Arial"/>
                <w:b w:val="0"/>
                <w:i w:val="0"/>
                <w:strike w:val="0"/>
                <w:color w:val="FFFFFF"/>
                <w:sz w:val="13"/>
                <w:u w:val="none"/>
                <w:vertAlign w:val="baseline"/>
              </w:rPr>
              <w:t>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31–180 päivää erääntyneet </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123</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227</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181–360 päivää erääntyneet </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Yli vuoden erääntyneet</w:t>
            </w: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w:t>
            </w: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81</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1 014</w:t>
            </w: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1 317</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bl>
    <w:p w:rsidR="00734592" w:rsidRPr="00350191" w:rsidP="00734592" w14:paraId="37D48AE4" w14:textId="77777777">
      <w:pPr>
        <w:pStyle w:val="Bodytext2"/>
        <w:rPr>
          <w:lang w:val="fi-FI"/>
        </w:rPr>
      </w:pPr>
    </w:p>
    <w:p w:rsidR="00734592" w:rsidRPr="00734592" w:rsidP="00734592" w14:paraId="6FE12D68" w14:textId="01E181B5">
      <w:pPr>
        <w:pStyle w:val="Bodytext2"/>
        <w:rPr>
          <w:lang w:val="fi-FI"/>
        </w:rPr>
      </w:pPr>
      <w:r w:rsidRPr="00734592">
        <w:rPr>
          <w:lang w:val="fi-FI"/>
        </w:rPr>
        <w:t>Vuonna 20</w:t>
      </w:r>
      <w:r>
        <w:rPr>
          <w:lang w:val="fi-FI"/>
        </w:rPr>
        <w:t>20 tappioksi kirjattujen</w:t>
      </w:r>
      <w:r w:rsidRPr="00734592">
        <w:rPr>
          <w:lang w:val="fi-FI"/>
        </w:rPr>
        <w:t xml:space="preserve"> alaskirjausten tulosvaikutus oli </w:t>
      </w:r>
      <w:r>
        <w:rPr>
          <w:lang w:val="fi-FI"/>
        </w:rPr>
        <w:t>-5</w:t>
      </w:r>
      <w:r w:rsidRPr="00734592">
        <w:rPr>
          <w:lang w:val="fi-FI"/>
        </w:rPr>
        <w:t xml:space="preserve"> milj. euroa (</w:t>
      </w:r>
      <w:r>
        <w:rPr>
          <w:lang w:val="fi-FI"/>
        </w:rPr>
        <w:t>-7</w:t>
      </w:r>
      <w:r w:rsidRPr="00734592">
        <w:rPr>
          <w:lang w:val="fi-FI"/>
        </w:rPr>
        <w:t>).</w:t>
      </w:r>
    </w:p>
    <w:p w:rsidR="00734592" w:rsidRPr="00734592" w:rsidP="00734592" w14:paraId="2C97F428" w14:textId="77777777">
      <w:pPr>
        <w:pStyle w:val="Bodytext2"/>
        <w:rPr>
          <w:lang w:val="fi-FI"/>
        </w:rPr>
      </w:pPr>
    </w:p>
    <w:p w:rsidR="00734592" w:rsidRPr="00624596" w:rsidP="00734592" w14:paraId="5C7E624B" w14:textId="4D9F1839">
      <w:pPr>
        <w:pStyle w:val="Heading13"/>
        <w:rPr>
          <w:lang w:val="fi-FI"/>
        </w:rPr>
      </w:pPr>
      <w:r w:rsidRPr="00624596">
        <w:rPr>
          <w:lang w:val="fi-FI"/>
        </w:rPr>
        <w:t>Arvonalentumiset</w:t>
      </w:r>
    </w:p>
    <w:p w:rsidR="00734592" w:rsidRPr="00624596" w:rsidP="00734592" w14:paraId="778DC730" w14:textId="77777777">
      <w:pPr>
        <w:pStyle w:val="Bodytext2"/>
        <w:rPr>
          <w:lang w:val="fi-FI"/>
        </w:rPr>
      </w:pPr>
    </w:p>
    <w:tbl>
      <w:tblPr>
        <w:tblStyle w:val="TableNormal"/>
        <w:tblCaption w:val="table_impairment"/>
        <w:tblW w:w="7350" w:type="dxa"/>
        <w:tblLayout w:type="fixed"/>
        <w:tblLook w:val="0600"/>
      </w:tblPr>
      <w:tblGrid>
        <w:gridCol w:w="3030"/>
        <w:gridCol w:w="1080"/>
        <w:gridCol w:w="1080"/>
        <w:gridCol w:w="1080"/>
        <w:gridCol w:w="1080"/>
      </w:tblGrid>
      <w:tr>
        <w:tblPrEx>
          <w:tblW w:w="7350" w:type="dxa"/>
          <w:tblLayout w:type="fixed"/>
          <w:tblLook w:val="0600"/>
        </w:tblPrEx>
        <w:trPr>
          <w:trHeight w:hRule="exact" w:val="240"/>
        </w:trPr>
        <w:tc>
          <w:tcPr>
            <w:tcW w:w="30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Arvonalentumiset kauden alussa</w:t>
            </w: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Saadut maksut</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Arvonalentumiset kauden aikana</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Tappioksi kirjatut alaskirjaukset</w:t>
            </w: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Arvonalentumiset kauden lopussa</w:t>
            </w:r>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bl>
    <w:p w:rsidR="00734592" w:rsidRPr="00624596" w:rsidP="00734592" w14:paraId="705FDAF7" w14:textId="77777777">
      <w:pPr>
        <w:pStyle w:val="Bodytext2"/>
        <w:rPr>
          <w:lang w:val="fi-FI"/>
        </w:rPr>
      </w:pPr>
    </w:p>
    <w:p w:rsidR="004A0DF2" w:rsidRPr="00A44D6A" w:rsidP="00734592" w14:textId="11AC8CA0">
      <w:pPr>
        <w:pStyle w:val="Bodytext2"/>
        <w:rPr>
          <w:sz w:val="2"/>
          <w:szCs w:val="2"/>
        </w:rPr>
      </w:pPr>
      <w:r w:rsidRPr="00734592">
        <w:rPr>
          <w:lang w:val="fi-FI"/>
        </w:rPr>
        <w:t xml:space="preserve">Konsernin myymien myyntisaamisten määrä on tällä hetkellä myyntisaamisten kokonaismäärään verrattuna merkityksetön. </w:t>
      </w:r>
      <w:r w:rsidRPr="00734592">
        <w:t>Myydyt myyntisaamiset on kirjattu pois taseesta.</w:t>
      </w:r>
      <w:r>
        <w:br w:type="column"/>
      </w:r>
    </w:p>
    <w:p w:rsidR="009C64BD" w:rsidP="009C64BD" w14:paraId="623C782C" w14:textId="2BF5AC03">
      <w:pPr>
        <w:pStyle w:val="Heading12"/>
      </w:pPr>
      <w:bookmarkStart w:id="1139" w:name="RG_MARKER_4727"/>
      <w:r>
        <w:t>4.3. MUUT SAAMISET</w:t>
      </w:r>
      <w:bookmarkEnd w:id="1139"/>
    </w:p>
    <w:tbl>
      <w:tblPr>
        <w:tblStyle w:val="TableGrid"/>
        <w:tblW w:w="7371" w:type="dxa"/>
        <w:tblLook w:val="04A0"/>
      </w:tblPr>
      <w:tblGrid>
        <w:gridCol w:w="7371"/>
      </w:tblGrid>
      <w:tr w14:paraId="5A312B1B" w14:textId="77777777" w:rsidTr="009C64BD">
        <w:tblPrEx>
          <w:tblW w:w="7371" w:type="dxa"/>
          <w:tblLook w:val="04A0"/>
        </w:tblPrEx>
        <w:tc>
          <w:tcPr>
            <w:tcW w:w="6683" w:type="dxa"/>
            <w:tcBorders>
              <w:top w:val="nil"/>
              <w:left w:val="nil"/>
              <w:bottom w:val="nil"/>
              <w:right w:val="nil"/>
            </w:tcBorders>
            <w:shd w:val="clear" w:color="auto" w:fill="B6C8D1"/>
            <w:hideMark/>
          </w:tcPr>
          <w:p w:rsidR="009C64BD" w:rsidRPr="00F20384" w14:paraId="44DB0EEB" w14:textId="0208D261">
            <w:pPr>
              <w:pStyle w:val="Heading13"/>
              <w:rPr>
                <w:rFonts w:eastAsiaTheme="minorEastAsia" w:cstheme="minorHAnsi"/>
                <w:lang w:val="fi-FI" w:eastAsia="fi-FI"/>
              </w:rPr>
            </w:pPr>
            <w:r w:rsidRPr="00F20384">
              <w:rPr>
                <w:rFonts w:eastAsiaTheme="minorEastAsia"/>
                <w:lang w:val="fi-FI" w:eastAsia="fi-FI"/>
              </w:rPr>
              <w:t>Laadintaperiaatteet</w:t>
            </w:r>
          </w:p>
          <w:p w:rsidR="009C64BD" w:rsidRPr="009C64BD" w14:paraId="22D82C88" w14:textId="139E295E">
            <w:pPr>
              <w:pStyle w:val="Bodytext2"/>
              <w:rPr>
                <w:rFonts w:eastAsiaTheme="minorEastAsia"/>
                <w:lang w:val="fi-FI" w:eastAsia="fi-FI"/>
              </w:rPr>
            </w:pPr>
            <w:r w:rsidRPr="009C64BD">
              <w:rPr>
                <w:lang w:val="fi-FI"/>
              </w:rPr>
              <w:t>Muut saamiset arvostetaan jaksotettuun hankintamenoon.</w:t>
            </w:r>
          </w:p>
        </w:tc>
      </w:tr>
    </w:tbl>
    <w:p w:rsidR="009C64BD" w:rsidRPr="009C64BD" w:rsidP="009C64BD" w14:paraId="2B4F9283" w14:textId="77777777">
      <w:pPr>
        <w:pStyle w:val="Bodytext2"/>
        <w:rPr>
          <w:lang w:val="fi-FI"/>
        </w:rPr>
      </w:pPr>
    </w:p>
    <w:tbl>
      <w:tblPr>
        <w:tblStyle w:val="TableNormal"/>
        <w:tblCaption w:val="table_other_receivables"/>
        <w:tblDescription w:val="21. Muut saamiset"/>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 ja muut rahoituserät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Vakuutusmaksut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Vuokrajaksotukset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Jaksotetut kustannukset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Muut siirtosaamiset </w:t>
            </w:r>
          </w:p>
        </w:tc>
        <w:tc>
          <w:tcPr>
            <w:tcW w:w="12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2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Lainasaamiset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Etuuspohjaiset eläkejärjestelyt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Arvonlisäverosaamiset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269</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258</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281</w:t>
            </w:r>
          </w:p>
        </w:tc>
      </w:tr>
    </w:tbl>
    <w:p w:rsidR="004A0DF2" w:rsidP="009C64BD" w14:textId="2C6BB624">
      <w:pPr>
        <w:pStyle w:val="Bodytext2"/>
        <w:rPr>
          <w:lang w:val="fi-FI"/>
        </w:rPr>
      </w:pPr>
    </w:p>
    <w:p w:rsidR="0001627E" w:rsidRPr="009C64BD" w:rsidP="009C64BD" w14:paraId="75BCF41D" w14:textId="7383E6B8">
      <w:pPr>
        <w:pStyle w:val="Bodytext2"/>
        <w:rPr>
          <w:lang w:val="fi-FI"/>
        </w:rPr>
      </w:pPr>
      <w:r w:rsidRPr="0001627E">
        <w:rPr>
          <w:lang w:val="fi-FI"/>
        </w:rPr>
        <w:t xml:space="preserve">* Sisältää henkilöstökustannuksiin liittyviä verosaamisia Brasiliassa 7 milj. euroa (9), joita ei välttämättä pystytä </w:t>
      </w:r>
      <w:r w:rsidRPr="0001627E">
        <w:rPr>
          <w:lang w:val="fi-FI"/>
        </w:rPr>
        <w:t>hyödyntämään vuoden kuluessa. Vuonna 2019 muut saamiset sisäl</w:t>
      </w:r>
      <w:r>
        <w:rPr>
          <w:lang w:val="fi-FI"/>
        </w:rPr>
        <w:t>sivät</w:t>
      </w:r>
      <w:r w:rsidRPr="0001627E">
        <w:rPr>
          <w:lang w:val="fi-FI"/>
        </w:rPr>
        <w:t xml:space="preserve"> myös 21 milj. euron saamisen pumppuliiketoiminnan myynnistä, joka on saatu vuonna 2020.</w:t>
      </w:r>
    </w:p>
    <w:p/>
    <w:p w:rsidR="005E7747" w:rsidP="005E7747" w14:paraId="50D5AA4D" w14:textId="74FD453E">
      <w:pPr>
        <w:pStyle w:val="Heading12"/>
      </w:pPr>
      <w:bookmarkStart w:id="1140" w:name="RG_MARKER_4726"/>
      <w:r>
        <w:t>4.4. OSTOVELAT JA MUUT VELAT</w:t>
      </w:r>
      <w:bookmarkEnd w:id="1140"/>
    </w:p>
    <w:tbl>
      <w:tblPr>
        <w:tblStyle w:val="TableGrid"/>
        <w:tblW w:w="7371" w:type="dxa"/>
        <w:tblLook w:val="04A0"/>
      </w:tblPr>
      <w:tblGrid>
        <w:gridCol w:w="7371"/>
      </w:tblGrid>
      <w:tr w14:paraId="3B171EA7" w14:textId="77777777" w:rsidTr="005E7747">
        <w:tblPrEx>
          <w:tblW w:w="7371" w:type="dxa"/>
          <w:tblLook w:val="04A0"/>
        </w:tblPrEx>
        <w:tc>
          <w:tcPr>
            <w:tcW w:w="6683" w:type="dxa"/>
            <w:tcBorders>
              <w:top w:val="nil"/>
              <w:left w:val="nil"/>
              <w:bottom w:val="nil"/>
              <w:right w:val="nil"/>
            </w:tcBorders>
            <w:shd w:val="clear" w:color="auto" w:fill="B6C8D1"/>
            <w:hideMark/>
          </w:tcPr>
          <w:p w:rsidR="005E7747" w:rsidRPr="000A0EFF" w14:paraId="2FF32211" w14:textId="02B6393D">
            <w:pPr>
              <w:pStyle w:val="Heading13"/>
              <w:rPr>
                <w:rFonts w:eastAsiaTheme="minorEastAsia" w:cstheme="minorHAnsi"/>
                <w:lang w:val="fi-FI" w:eastAsia="fi-FI"/>
              </w:rPr>
            </w:pPr>
            <w:r w:rsidRPr="000A0EFF">
              <w:rPr>
                <w:rFonts w:eastAsiaTheme="minorEastAsia"/>
                <w:lang w:val="fi-FI" w:eastAsia="fi-FI"/>
              </w:rPr>
              <w:t>Laadintaperiaatteet</w:t>
            </w:r>
          </w:p>
          <w:p w:rsidR="005E7747" w:rsidRPr="005E7747" w14:paraId="1D6EB4B4" w14:textId="006BD825">
            <w:pPr>
              <w:pStyle w:val="Bodytext2"/>
              <w:rPr>
                <w:rFonts w:eastAsiaTheme="minorEastAsia"/>
                <w:lang w:val="fi-FI" w:eastAsia="fi-FI"/>
              </w:rPr>
            </w:pPr>
            <w:r>
              <w:rPr>
                <w:rFonts w:eastAsiaTheme="minorEastAsia"/>
                <w:lang w:val="fi-FI" w:eastAsia="fi-FI"/>
              </w:rPr>
              <w:t xml:space="preserve">Ostovelat ja muut velat </w:t>
            </w:r>
            <w:r w:rsidRPr="005E7747">
              <w:rPr>
                <w:rFonts w:eastAsiaTheme="minorEastAsia"/>
                <w:lang w:val="fi-FI" w:eastAsia="fi-FI"/>
              </w:rPr>
              <w:t xml:space="preserve">arvostetaan alun perin käypään arvoon </w:t>
            </w:r>
            <w:r>
              <w:rPr>
                <w:rFonts w:eastAsiaTheme="minorEastAsia"/>
                <w:lang w:val="fi-FI" w:eastAsia="fi-FI"/>
              </w:rPr>
              <w:t>ja myöhemmin</w:t>
            </w:r>
            <w:r w:rsidRPr="005E7747">
              <w:rPr>
                <w:rFonts w:eastAsiaTheme="minorEastAsia"/>
                <w:lang w:val="fi-FI" w:eastAsia="fi-FI"/>
              </w:rPr>
              <w:t xml:space="preserve"> jaksotettuun hankintamenoon.</w:t>
            </w:r>
          </w:p>
        </w:tc>
      </w:tr>
    </w:tbl>
    <w:p w:rsidR="005E7747" w:rsidRPr="005E7747" w:rsidP="005E7747" w14:paraId="00FFCE87" w14:textId="77777777">
      <w:pPr>
        <w:pStyle w:val="Bodytext2"/>
        <w:rPr>
          <w:lang w:val="fi-FI"/>
        </w:rPr>
      </w:pPr>
    </w:p>
    <w:tbl>
      <w:tblPr>
        <w:tblStyle w:val="TableNormal"/>
        <w:tblCaption w:val="table_other_payables"/>
        <w:tblDescription w:val="29. Other liabilities"/>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411</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Jaksotetut kulut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Henkilöstökulut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 ja muut rahoituserät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siirtovelat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Arvonlisäverovelat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1 076</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1 247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1 075</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1 246</w:t>
            </w:r>
          </w:p>
        </w:tc>
      </w:tr>
    </w:tbl>
    <w:p/>
    <w:p w:rsidR="00BC2721" w:rsidP="00BC2721" w14:paraId="18276143" w14:textId="4A1F0A0E">
      <w:pPr>
        <w:pStyle w:val="Heading12"/>
      </w:pPr>
      <w:bookmarkStart w:id="1141" w:name="RG_MARKER_4725"/>
      <w:r>
        <w:t>4.5. VARAUKSET</w:t>
      </w:r>
      <w:bookmarkEnd w:id="1141"/>
    </w:p>
    <w:tbl>
      <w:tblPr>
        <w:tblStyle w:val="TableGrid"/>
        <w:tblW w:w="7371" w:type="dxa"/>
        <w:tblLook w:val="04A0"/>
      </w:tblPr>
      <w:tblGrid>
        <w:gridCol w:w="7371"/>
      </w:tblGrid>
      <w:tr w14:paraId="2DB9BF57" w14:textId="77777777" w:rsidTr="00BC2721">
        <w:tblPrEx>
          <w:tblW w:w="7371" w:type="dxa"/>
          <w:tblLook w:val="04A0"/>
        </w:tblPrEx>
        <w:tc>
          <w:tcPr>
            <w:tcW w:w="7371" w:type="dxa"/>
            <w:tcBorders>
              <w:top w:val="nil"/>
              <w:left w:val="nil"/>
              <w:bottom w:val="nil"/>
              <w:right w:val="nil"/>
            </w:tcBorders>
            <w:shd w:val="clear" w:color="auto" w:fill="B6C8D1"/>
          </w:tcPr>
          <w:p w:rsidR="00BC2721" w:rsidRPr="00BC2721" w14:paraId="39CB0AC7" w14:textId="26D3EDFF">
            <w:pPr>
              <w:pStyle w:val="Heading13"/>
              <w:rPr>
                <w:rFonts w:eastAsiaTheme="minorEastAsia" w:cstheme="minorHAnsi"/>
                <w:lang w:val="fi-FI" w:eastAsia="fi-FI"/>
              </w:rPr>
            </w:pPr>
            <w:r w:rsidRPr="00BC2721">
              <w:rPr>
                <w:lang w:val="fi-FI"/>
              </w:rPr>
              <w:t>Laadintaperiaatteet</w:t>
            </w:r>
          </w:p>
          <w:p w:rsidR="00BC2721" w:rsidP="00BC2721" w14:paraId="02C4FAEF" w14:textId="740FB378">
            <w:pPr>
              <w:pStyle w:val="Bodytext2"/>
              <w:rPr>
                <w:lang w:val="fi-FI"/>
              </w:rPr>
            </w:pPr>
            <w:r w:rsidRPr="00BC2721">
              <w:rPr>
                <w:lang w:val="fi-FI"/>
              </w:rPr>
              <w:t xml:space="preserve">Varaus merkitään taseeseen silloin, kun konsernilla on jonkin aikaisemman tapahtuman seurauksena oikeudellinen tai tosiasiallinen olemassa oleva velvoite ja on todennäköistä, että velvoitteen täyttäminen </w:t>
            </w:r>
            <w:r w:rsidRPr="00BC2721">
              <w:rPr>
                <w:lang w:val="fi-FI"/>
              </w:rPr>
              <w:t xml:space="preserve">edellyttää taloudellista suoritusta tai aiheuttaa taloudellisen menetyksen, ja velvoitteen määrä on luotettavasti arvioitavissa. </w:t>
            </w:r>
            <w:r>
              <w:rPr>
                <w:lang w:val="fi-FI"/>
              </w:rPr>
              <w:t>V</w:t>
            </w:r>
            <w:r w:rsidRPr="00BC2721">
              <w:rPr>
                <w:lang w:val="fi-FI"/>
              </w:rPr>
              <w:t>araukset voivat liittyä m</w:t>
            </w:r>
            <w:r>
              <w:rPr>
                <w:lang w:val="fi-FI"/>
              </w:rPr>
              <w:t>uun muassa</w:t>
            </w:r>
            <w:r w:rsidRPr="00BC2721">
              <w:rPr>
                <w:lang w:val="fi-FI"/>
              </w:rPr>
              <w:t xml:space="preserve"> takuukustannuksiin, ympäristövelvoitteisiin, oikeudenkäynteihin, projektien ennakoituihin tappioih</w:t>
            </w:r>
            <w:r w:rsidRPr="00BC2721">
              <w:rPr>
                <w:lang w:val="fi-FI"/>
              </w:rPr>
              <w:t>in ja uudelleenjärjestelyihin. Varauksena kirjattava määrä vastaa johdon parasta arviota menoista, joita olemassa olevan velvoitteen täyttäminen edellyttää raportointikauden päättymispäivänä.</w:t>
            </w:r>
          </w:p>
          <w:p w:rsidR="00BC2721" w:rsidRPr="00BC2721" w:rsidP="00BC2721" w14:paraId="2076A96E" w14:textId="77777777">
            <w:pPr>
              <w:pStyle w:val="Bodytext2"/>
              <w:rPr>
                <w:lang w:val="fi-FI"/>
              </w:rPr>
            </w:pPr>
          </w:p>
          <w:p w:rsidR="00BC2721" w:rsidRPr="008850A0" w:rsidP="00BC2721" w14:paraId="59DB674F" w14:textId="736263D7">
            <w:pPr>
              <w:pStyle w:val="Bodytext2"/>
              <w:rPr>
                <w:lang w:val="fi-FI"/>
              </w:rPr>
            </w:pPr>
            <w:r w:rsidRPr="00BC2721">
              <w:rPr>
                <w:lang w:val="fi-FI"/>
              </w:rPr>
              <w:t>Toimitettuihin tuotteisiin liittyvät arvioidut takuukustannukse</w:t>
            </w:r>
            <w:r w:rsidRPr="00BC2721">
              <w:rPr>
                <w:lang w:val="fi-FI"/>
              </w:rPr>
              <w:t>t käsitellään varauksena, jonka suuruus perustuu kokemusperäiseen tietoon aiemmin toteutuneista takuukustannuksista.</w:t>
            </w:r>
            <w:r>
              <w:rPr>
                <w:lang w:val="fi-FI"/>
              </w:rPr>
              <w:t xml:space="preserve"> </w:t>
            </w:r>
            <w:r w:rsidRPr="008850A0">
              <w:rPr>
                <w:lang w:val="fi-FI"/>
              </w:rPr>
              <w:t>Takuukausi kattaa yleensä vuoden toimituksesta eteenpäin.</w:t>
            </w:r>
          </w:p>
          <w:p w:rsidR="00BC2721" w:rsidRPr="00BC2721" w:rsidP="00BC2721" w14:paraId="7D58A80A" w14:textId="77777777">
            <w:pPr>
              <w:pStyle w:val="Bodytext2"/>
              <w:rPr>
                <w:lang w:val="fi-FI"/>
              </w:rPr>
            </w:pPr>
          </w:p>
          <w:p w:rsidR="00BC2721" w:rsidP="00BC2721" w14:paraId="54E8D052" w14:textId="4BF7434F">
            <w:pPr>
              <w:pStyle w:val="Bodytext2"/>
              <w:rPr>
                <w:lang w:val="fi-FI"/>
              </w:rPr>
            </w:pPr>
            <w:r w:rsidRPr="00BC2721">
              <w:rPr>
                <w:lang w:val="fi-FI"/>
              </w:rPr>
              <w:t>Uudelleenjärjestelyvaraus kirjataan, kun uudelleenjärjestelysuunnitelma on hyväk</w:t>
            </w:r>
            <w:r w:rsidRPr="00BC2721">
              <w:rPr>
                <w:lang w:val="fi-FI"/>
              </w:rPr>
              <w:t>sytty ja toimeenpano aloitettu tai asianosaiselle henkilöstölle on kerrottu järjestelyn ehdoista. Suunnitelmassa tulee olla yksilöity</w:t>
            </w:r>
            <w:r w:rsidRPr="00BC2721">
              <w:rPr>
                <w:lang w:val="fi-FI"/>
              </w:rPr>
              <w:t xml:space="preserve"> mitä toimintoja ja henkilöstöä se koskee</w:t>
            </w:r>
            <w:r>
              <w:rPr>
                <w:lang w:val="fi-FI"/>
              </w:rPr>
              <w:t xml:space="preserve"> sekä</w:t>
            </w:r>
            <w:r w:rsidRPr="00BC2721">
              <w:rPr>
                <w:lang w:val="fi-FI"/>
              </w:rPr>
              <w:t xml:space="preserve"> mikä on sen toteuttamisaikataulu ja -kustannukset.</w:t>
            </w:r>
          </w:p>
          <w:p w:rsidR="00BC2721" w:rsidRPr="00BC2721" w:rsidP="00BC2721" w14:paraId="4C314DF4" w14:textId="77777777">
            <w:pPr>
              <w:pStyle w:val="Bodytext2"/>
              <w:rPr>
                <w:lang w:val="fi-FI"/>
              </w:rPr>
            </w:pPr>
          </w:p>
          <w:p w:rsidR="00BC2721" w:rsidRPr="00BC2721" w14:paraId="727861A8" w14:textId="35069EDE">
            <w:pPr>
              <w:pStyle w:val="Bodytext2"/>
              <w:rPr>
                <w:rFonts w:eastAsiaTheme="minorEastAsia"/>
                <w:lang w:val="fi-FI" w:eastAsia="fi-FI"/>
              </w:rPr>
            </w:pPr>
            <w:r w:rsidRPr="00BC2721">
              <w:rPr>
                <w:rFonts w:eastAsiaTheme="minorEastAsia"/>
                <w:lang w:val="fi-FI" w:eastAsia="fi-FI"/>
              </w:rPr>
              <w:t>Konserniyhtiöt ovat vastaaj</w:t>
            </w:r>
            <w:r w:rsidRPr="00BC2721">
              <w:rPr>
                <w:rFonts w:eastAsiaTheme="minorEastAsia"/>
                <w:lang w:val="fi-FI" w:eastAsia="fi-FI"/>
              </w:rPr>
              <w:t>ina eräissä oikeusjutuissa, jotka liittyvät konsernin normaaliin liiketoimintaan. Kyseiset oikeusjutut koskevat m</w:t>
            </w:r>
            <w:r>
              <w:rPr>
                <w:rFonts w:eastAsiaTheme="minorEastAsia"/>
                <w:lang w:val="fi-FI" w:eastAsia="fi-FI"/>
              </w:rPr>
              <w:t>uun muassa</w:t>
            </w:r>
            <w:r w:rsidRPr="00BC2721">
              <w:rPr>
                <w:rFonts w:eastAsiaTheme="minorEastAsia"/>
                <w:lang w:val="fi-FI" w:eastAsia="fi-FI"/>
              </w:rPr>
              <w:t xml:space="preserve"> sopimus- ja muita vastuita, työsuhdeasioita, omaisuusvahinkoja sekä hallintoasioita. Konserni saa ajoittain erisuu</w:t>
            </w:r>
            <w:r w:rsidRPr="00BC2721">
              <w:rPr>
                <w:rFonts w:eastAsiaTheme="minorEastAsia"/>
                <w:lang w:val="fi-FI" w:eastAsia="fi-FI"/>
              </w:rPr>
              <w:t>ruisia ja vaihtelevassa mä</w:t>
            </w:r>
            <w:r w:rsidRPr="00BC2721">
              <w:rPr>
                <w:rFonts w:eastAsiaTheme="minorEastAsia"/>
                <w:lang w:val="fi-FI" w:eastAsia="fi-FI"/>
              </w:rPr>
              <w:t xml:space="preserve">ärin perusteltuja korvausvaatimuksia. </w:t>
            </w:r>
            <w:r>
              <w:rPr>
                <w:rFonts w:eastAsiaTheme="minorEastAsia"/>
                <w:lang w:val="fi-FI" w:eastAsia="fi-FI"/>
              </w:rPr>
              <w:t>K</w:t>
            </w:r>
            <w:r w:rsidRPr="00BC2721">
              <w:rPr>
                <w:rFonts w:eastAsiaTheme="minorEastAsia"/>
                <w:lang w:val="fi-FI" w:eastAsia="fi-FI"/>
              </w:rPr>
              <w:t>onsernin periaatteisiin kuuluu varausten tekeminen vaatimusten sekä oikeudenkäyntien ja välimiesmenettelyjen varalta silloin kun epäsuotuisa lopputulos on todennäköinen ja kulujen suuruus voidaan kohtuullisella varmuu</w:t>
            </w:r>
            <w:r w:rsidRPr="00BC2721">
              <w:rPr>
                <w:rFonts w:eastAsiaTheme="minorEastAsia"/>
                <w:lang w:val="fi-FI" w:eastAsia="fi-FI"/>
              </w:rPr>
              <w:t>della arvioida.</w:t>
            </w:r>
          </w:p>
          <w:p w:rsidR="00BC2721" w:rsidRPr="00BC2721" w14:paraId="51470CE1" w14:textId="77777777">
            <w:pPr>
              <w:pStyle w:val="Bodytext2"/>
              <w:rPr>
                <w:rFonts w:eastAsiaTheme="minorEastAsia"/>
                <w:lang w:val="fi-FI" w:eastAsia="fi-FI"/>
              </w:rPr>
            </w:pPr>
          </w:p>
          <w:p w:rsidR="007312B8" w:rsidP="007312B8" w14:paraId="4D260E79" w14:textId="77777777">
            <w:pPr>
              <w:pStyle w:val="Heading13"/>
              <w:rPr>
                <w:rFonts w:eastAsiaTheme="minorEastAsia" w:cstheme="minorHAnsi"/>
                <w:lang w:val="fi-FI" w:eastAsia="fi-FI"/>
              </w:rPr>
            </w:pPr>
            <w:r>
              <w:rPr>
                <w:lang w:val="fi-FI"/>
              </w:rPr>
              <w:t>Kirjanpidolliset arviot ja harkinnat</w:t>
            </w:r>
          </w:p>
          <w:p w:rsidR="008850A0" w:rsidRPr="007E1656" w:rsidP="008850A0" w14:paraId="1C1005C3" w14:textId="4BF76975">
            <w:pPr>
              <w:pStyle w:val="Bodytext2"/>
              <w:rPr>
                <w:lang w:val="fi-FI"/>
              </w:rPr>
            </w:pPr>
            <w:r w:rsidRPr="007E1656">
              <w:rPr>
                <w:lang w:val="fi-FI"/>
              </w:rPr>
              <w:t>Konserni on vastaajana eräissä oikeudenkäynneissä</w:t>
            </w:r>
            <w:r>
              <w:rPr>
                <w:lang w:val="fi-FI"/>
              </w:rPr>
              <w:t>, jotka liittyvät sen liiketoimintaan.</w:t>
            </w:r>
            <w:r w:rsidRPr="007E1656">
              <w:rPr>
                <w:lang w:val="fi-FI"/>
              </w:rPr>
              <w:t xml:space="preserve"> </w:t>
            </w:r>
            <w:r>
              <w:rPr>
                <w:lang w:val="fi-FI"/>
              </w:rPr>
              <w:t>Oikeudenkäyntiin liittyvä</w:t>
            </w:r>
            <w:r w:rsidRPr="007E1656">
              <w:rPr>
                <w:lang w:val="fi-FI"/>
              </w:rPr>
              <w:t xml:space="preserve"> varaus kirjataan, mikäli epäsuotuisa tulos on todennäköinen ja tappio voidaan määrittää </w:t>
            </w:r>
            <w:r w:rsidRPr="007E1656">
              <w:rPr>
                <w:lang w:val="fi-FI"/>
              </w:rPr>
              <w:t>kohtuullisella varmuudella. Lopullinen tulos voi poiketa näistä arvioista.</w:t>
            </w:r>
          </w:p>
        </w:tc>
      </w:tr>
    </w:tbl>
    <w:p w:rsidR="00BC2721" w:rsidRPr="009C255F" w:rsidP="00BC2721" w14:paraId="49EE3A9B" w14:textId="3A33B172">
      <w:pPr>
        <w:pStyle w:val="Bodytext2"/>
        <w:rPr>
          <w:sz w:val="2"/>
          <w:szCs w:val="2"/>
          <w:lang w:val="fi-FI"/>
        </w:rPr>
      </w:pPr>
      <w:r>
        <w:rPr>
          <w:lang w:val="fi-FI"/>
        </w:rPr>
        <w:br w:type="column"/>
      </w:r>
    </w:p>
    <w:p w:rsidR="00BC2721" w:rsidRPr="009C255F" w:rsidP="00BC2721" w14:paraId="534B2985" w14:textId="77777777">
      <w:pPr>
        <w:pStyle w:val="Heading13"/>
        <w:rPr>
          <w:lang w:val="fi-FI"/>
        </w:rPr>
      </w:pPr>
      <w:r w:rsidRPr="009C255F">
        <w:rPr>
          <w:lang w:val="fi-FI"/>
        </w:rPr>
        <w:t>2020</w:t>
      </w:r>
    </w:p>
    <w:p w:rsidR="00BC2721" w:rsidRPr="009C255F" w:rsidP="00BC2721" w14:paraId="0584ABA9" w14:textId="77777777">
      <w:pPr>
        <w:pStyle w:val="Bodytext2"/>
        <w:rPr>
          <w:lang w:val="fi-FI"/>
        </w:rPr>
      </w:pPr>
    </w:p>
    <w:tbl>
      <w:tblPr>
        <w:tblStyle w:val="TableNormal"/>
        <w:tblCaption w:val="table_45_provisions_cur"/>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Oikeuden-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käynnit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Takuu-</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Tappio-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Uudelleen-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järjestely-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Muut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Varaukset 1.1.2020</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Kurssierot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Yritysmyynnit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87</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Käytetyt varaukset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-87</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Käyttämättömien varausten peruutukset</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 31.12.2020</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174</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Pitkäaikainen</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Lyhytaikainen</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269</w:t>
            </w:r>
          </w:p>
        </w:tc>
      </w:tr>
    </w:tbl>
    <w:p w:rsidR="00BC2721" w:rsidRPr="009C255F" w:rsidP="00BC2721" w14:paraId="7A2EC377" w14:textId="77777777">
      <w:pPr>
        <w:pStyle w:val="Bodytext2"/>
        <w:rPr>
          <w:lang w:val="fi-FI"/>
        </w:rPr>
      </w:pPr>
    </w:p>
    <w:p w:rsidR="00BC2721" w:rsidRPr="008850A0" w:rsidP="00BC2721" w14:paraId="77BFF0F9" w14:textId="65103867">
      <w:pPr>
        <w:pStyle w:val="Bodytext2"/>
        <w:rPr>
          <w:lang w:val="fi-FI"/>
        </w:rPr>
      </w:pPr>
      <w:r w:rsidRPr="00BC2721">
        <w:rPr>
          <w:lang w:val="fi-FI"/>
        </w:rPr>
        <w:t xml:space="preserve">Eräs saaduista vaatimuksista on erityisen suuri, mutta sen toteutumista pidetään erittäin epätodennäköisenä. </w:t>
      </w:r>
      <w:r w:rsidRPr="008850A0">
        <w:rPr>
          <w:lang w:val="fi-FI"/>
        </w:rPr>
        <w:t>Tämä vaade on käsitelty ehdollisena velkana.</w:t>
      </w:r>
    </w:p>
    <w:p w:rsidR="00BC2721" w:rsidRPr="008850A0" w:rsidP="00BC2721" w14:paraId="3A50C500" w14:textId="77777777">
      <w:pPr>
        <w:pStyle w:val="Bodytext2"/>
        <w:rPr>
          <w:lang w:val="fi-FI"/>
        </w:rPr>
      </w:pPr>
    </w:p>
    <w:p w:rsidR="00BC2721" w:rsidRPr="008850A0" w:rsidP="00BC2721" w14:paraId="198C68FC" w14:textId="77777777">
      <w:pPr>
        <w:pStyle w:val="Heading13"/>
        <w:rPr>
          <w:lang w:val="fi-FI"/>
        </w:rPr>
      </w:pPr>
      <w:r w:rsidRPr="008850A0">
        <w:rPr>
          <w:lang w:val="fi-FI"/>
        </w:rPr>
        <w:t>2019</w:t>
      </w:r>
    </w:p>
    <w:p w:rsidR="00BC2721" w:rsidRPr="008850A0" w:rsidP="00BC2721" w14:paraId="3AA44E02" w14:textId="77777777">
      <w:pPr>
        <w:pStyle w:val="Bodytext2"/>
        <w:rPr>
          <w:lang w:val="fi-FI"/>
        </w:rPr>
      </w:pPr>
    </w:p>
    <w:tbl>
      <w:tblPr>
        <w:tblStyle w:val="TableNormal"/>
        <w:tblCaption w:val="table_45_provisions_pre"/>
        <w:tblDescription w:val="2020"/>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Oikeuden-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käynnit</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Takuu-</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Tappio-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Uudelleen-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järjestely-</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Muut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Varaukset 1.1.2019</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172</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67</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Kurssierot</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Käytetyt varaukset</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Käyttämättömien varausten peruutukset</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Varaukset 31.12.2019</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strike w:val="0"/>
                <w:color w:val="80008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Pitkäaikainen</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Lyhytaikainen</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278</w:t>
            </w:r>
          </w:p>
        </w:tc>
      </w:tr>
    </w:tbl>
    <w:p w:rsidR="00BC2721" w:rsidRPr="00A86943" w:rsidP="00BC2721" w14:paraId="4C5180FC" w14:textId="0099B661">
      <w:pPr>
        <w:pStyle w:val="Bodytext2"/>
        <w:rPr>
          <w:sz w:val="2"/>
          <w:szCs w:val="2"/>
          <w:lang w:val="fi-FI"/>
        </w:rPr>
      </w:pPr>
      <w:r>
        <w:rPr>
          <w:lang w:val="fi-FI"/>
        </w:rPr>
        <w:br w:type="column"/>
      </w:r>
    </w:p>
    <w:p w:rsidR="00B2565B" w:rsidP="00B2565B" w14:paraId="2EBC42BB" w14:textId="173A2788">
      <w:pPr>
        <w:pStyle w:val="Heading12"/>
      </w:pPr>
      <w:bookmarkStart w:id="1142" w:name="RG_MARKER_4724"/>
      <w:r>
        <w:t>4.6. LASKENNALLISET VEROT</w:t>
      </w:r>
      <w:bookmarkEnd w:id="1142"/>
    </w:p>
    <w:tbl>
      <w:tblPr>
        <w:tblStyle w:val="TableGrid"/>
        <w:tblW w:w="7371" w:type="dxa"/>
        <w:tblLook w:val="04A0"/>
      </w:tblPr>
      <w:tblGrid>
        <w:gridCol w:w="7371"/>
      </w:tblGrid>
      <w:tr w14:paraId="32469797" w14:textId="77777777" w:rsidTr="00B2565B">
        <w:tblPrEx>
          <w:tblW w:w="7371" w:type="dxa"/>
          <w:tblLook w:val="04A0"/>
        </w:tblPrEx>
        <w:tc>
          <w:tcPr>
            <w:tcW w:w="7371" w:type="dxa"/>
            <w:tcBorders>
              <w:top w:val="nil"/>
              <w:left w:val="nil"/>
              <w:bottom w:val="nil"/>
              <w:right w:val="nil"/>
            </w:tcBorders>
            <w:shd w:val="clear" w:color="auto" w:fill="B6C8D1"/>
          </w:tcPr>
          <w:p w:rsidR="00B2565B" w:rsidRPr="00B2565B" w14:paraId="0758C253" w14:textId="33AD2C82">
            <w:pPr>
              <w:pStyle w:val="Heading13"/>
              <w:rPr>
                <w:rFonts w:eastAsiaTheme="minorEastAsia" w:cstheme="minorHAnsi"/>
                <w:lang w:val="fi-FI" w:eastAsia="fi-FI"/>
              </w:rPr>
            </w:pPr>
            <w:r w:rsidRPr="00B2565B">
              <w:rPr>
                <w:lang w:val="fi-FI"/>
              </w:rPr>
              <w:t>Laadintaperiaatteet</w:t>
            </w:r>
          </w:p>
          <w:p w:rsidR="00B2565B" w:rsidP="00B2565B" w14:paraId="2BC11AAA" w14:textId="1995CF2A">
            <w:pPr>
              <w:pStyle w:val="Bodytext2"/>
              <w:rPr>
                <w:rFonts w:eastAsiaTheme="minorEastAsia"/>
                <w:lang w:val="fi-FI" w:eastAsia="fi-FI"/>
              </w:rPr>
            </w:pPr>
            <w:r w:rsidRPr="00B2565B">
              <w:rPr>
                <w:rFonts w:eastAsiaTheme="minorEastAsia"/>
                <w:lang w:val="fi-FI" w:eastAsia="fi-FI"/>
              </w:rPr>
              <w:t>Laskennalliset verovelat ja -saamiset kirjataan pääsääntöisesti kaikista omaisuus- ja velkaerien verotuksellisten arvojen sekä kirjanpitoarvojen välisistä väliaikaisista eroista käyttäen raportointikauden päättymispäivänä voimassaolevia</w:t>
            </w:r>
            <w:r>
              <w:rPr>
                <w:rFonts w:eastAsiaTheme="minorEastAsia"/>
                <w:lang w:val="fi-FI" w:eastAsia="fi-FI"/>
              </w:rPr>
              <w:t xml:space="preserve"> </w:t>
            </w:r>
            <w:r w:rsidR="008534E5">
              <w:rPr>
                <w:rFonts w:eastAsiaTheme="minorEastAsia"/>
                <w:lang w:val="fi-FI" w:eastAsia="fi-FI"/>
              </w:rPr>
              <w:t>tai jo hyväksyttyjä, mutta ei vielä lainvoimaisia</w:t>
            </w:r>
            <w:r w:rsidRPr="00B2565B">
              <w:rPr>
                <w:rFonts w:eastAsiaTheme="minorEastAsia"/>
                <w:lang w:val="fi-FI" w:eastAsia="fi-FI"/>
              </w:rPr>
              <w:t xml:space="preserve"> verokantoja. Laskennalliset verovelat kirjataan taseeseen täysimääräisinä ja laskennalliset verosaamiset arvioidun todennäköisen verohyödyn suuruisena.</w:t>
            </w:r>
          </w:p>
          <w:p w:rsidR="00B2565B" w:rsidRPr="00B2565B" w:rsidP="00B2565B" w14:paraId="50E9EF36" w14:textId="77777777">
            <w:pPr>
              <w:pStyle w:val="Bodytext2"/>
              <w:rPr>
                <w:rFonts w:eastAsiaTheme="minorEastAsia"/>
                <w:lang w:val="fi-FI" w:eastAsia="fi-FI"/>
              </w:rPr>
            </w:pPr>
          </w:p>
          <w:p w:rsidR="00B2565B" w:rsidRPr="00B2565B" w:rsidP="00B2565B" w14:paraId="60893812" w14:textId="2A28B244">
            <w:pPr>
              <w:pStyle w:val="Bodytext2"/>
              <w:rPr>
                <w:rFonts w:eastAsiaTheme="minorEastAsia"/>
                <w:lang w:val="fi-FI" w:eastAsia="fi-FI"/>
              </w:rPr>
            </w:pPr>
            <w:r w:rsidRPr="00B2565B">
              <w:rPr>
                <w:rFonts w:eastAsiaTheme="minorEastAsia"/>
                <w:lang w:val="fi-FI" w:eastAsia="fi-FI"/>
              </w:rPr>
              <w:t>Laskennalliset verovelat ja -saamiset kirjataan nettona, kun lain mukaan</w:t>
            </w:r>
            <w:r w:rsidRPr="00B2565B">
              <w:rPr>
                <w:rFonts w:eastAsiaTheme="minorEastAsia"/>
                <w:lang w:val="fi-FI" w:eastAsia="fi-FI"/>
              </w:rPr>
              <w:t xml:space="preserve"> voidaan kirjata lyhytaikaiset verosaamiset ja lyhytaikaiset verovelat nettona ja kun laskennalliset tuloverosaamiset ja -velat liittyvät saman veroviranomaisen määräämään tuloveroon tai saman verovelvollisyhtiön tai eri verovelvollisyhtiöiden tuloveroihin</w:t>
            </w:r>
            <w:r w:rsidRPr="00B2565B">
              <w:rPr>
                <w:rFonts w:eastAsiaTheme="minorEastAsia"/>
                <w:lang w:val="fi-FI" w:eastAsia="fi-FI"/>
              </w:rPr>
              <w:t xml:space="preserve"> silloin, kun tarkoitus on käsitellä veroeriä nettona.</w:t>
            </w:r>
          </w:p>
          <w:p w:rsidR="00B2565B" w:rsidRPr="00B2565B" w14:paraId="709570D9" w14:textId="77777777">
            <w:pPr>
              <w:pStyle w:val="Bodytext2"/>
              <w:rPr>
                <w:rFonts w:eastAsiaTheme="minorEastAsia"/>
                <w:lang w:val="fi-FI" w:eastAsia="fi-FI"/>
              </w:rPr>
            </w:pPr>
          </w:p>
          <w:p w:rsidR="00B2565B" w:rsidRPr="00D93790" w14:paraId="30172B98" w14:textId="5052FDEE">
            <w:pPr>
              <w:pStyle w:val="Heading13"/>
              <w:rPr>
                <w:rFonts w:eastAsiaTheme="minorEastAsia" w:cstheme="minorHAnsi"/>
                <w:lang w:val="fi-FI" w:eastAsia="fi-FI"/>
              </w:rPr>
            </w:pPr>
            <w:r w:rsidRPr="00D93790">
              <w:rPr>
                <w:lang w:val="fi-FI"/>
              </w:rPr>
              <w:t>Kirjanpidolliset arviot ja harkinnat</w:t>
            </w:r>
          </w:p>
          <w:p w:rsidR="00B2565B" w:rsidRPr="00B2565B" w14:paraId="03F03C51" w14:textId="2C27555E">
            <w:pPr>
              <w:pStyle w:val="Bodytext2"/>
              <w:rPr>
                <w:rFonts w:eastAsiaTheme="minorEastAsia"/>
                <w:lang w:val="fi-FI" w:eastAsia="fi-FI"/>
              </w:rPr>
            </w:pPr>
            <w:r w:rsidRPr="00B2565B">
              <w:rPr>
                <w:rFonts w:eastAsiaTheme="minorEastAsia"/>
                <w:lang w:val="fi-FI" w:eastAsia="fi-FI"/>
              </w:rPr>
              <w:t>Arviot veroveloista ja -saamisista liittyvät pääasiassa käynnissä olevien verotarkastusten arvioituihin lopputuloksiin sekä verotuksen tappioihin liittyvien lasken</w:t>
            </w:r>
            <w:r w:rsidRPr="00B2565B">
              <w:rPr>
                <w:rFonts w:eastAsiaTheme="minorEastAsia"/>
                <w:lang w:val="fi-FI" w:eastAsia="fi-FI"/>
              </w:rPr>
              <w:t>nallisten verosaamisten arvostamiseen. Käyttämättömistä verotuksen tappioista ja muista väliaikaisista eroista kirjataan laskennallinen verosaaminen vain siihen määrään asti kuin on todennäköistä, että syntyy verotettavaa tuloa.</w:t>
            </w:r>
            <w:r>
              <w:rPr>
                <w:rFonts w:eastAsiaTheme="minorEastAsia"/>
                <w:lang w:val="fi-FI" w:eastAsia="fi-FI"/>
              </w:rPr>
              <w:t xml:space="preserve"> Verosaamisia ei kirjata sel</w:t>
            </w:r>
            <w:r>
              <w:rPr>
                <w:rFonts w:eastAsiaTheme="minorEastAsia"/>
                <w:lang w:val="fi-FI" w:eastAsia="fi-FI"/>
              </w:rPr>
              <w:t>laisista verotuksen tappioista, joiden käyttämiseen liittyy epävarmuutta.</w:t>
            </w:r>
          </w:p>
        </w:tc>
      </w:tr>
    </w:tbl>
    <w:p w:rsidR="00B2565B" w:rsidRPr="00B2565B" w:rsidP="00B2565B" w14:paraId="2734937F" w14:textId="77777777">
      <w:pPr>
        <w:pStyle w:val="Bodytext2"/>
        <w:rPr>
          <w:lang w:val="fi-FI"/>
        </w:rPr>
      </w:pPr>
    </w:p>
    <w:p w:rsidR="00B2565B" w:rsidP="00B2565B" w14:paraId="0D26C1DE" w14:textId="13EF3F60">
      <w:pPr>
        <w:pStyle w:val="Heading13"/>
        <w:rPr>
          <w:lang w:val="fi-FI"/>
        </w:rPr>
      </w:pPr>
      <w:r w:rsidRPr="00B2565B">
        <w:rPr>
          <w:lang w:val="fi-FI"/>
        </w:rPr>
        <w:t>Laskennallisten vero</w:t>
      </w:r>
      <w:r>
        <w:rPr>
          <w:lang w:val="fi-FI"/>
        </w:rPr>
        <w:t>jen</w:t>
      </w:r>
      <w:r w:rsidRPr="00B2565B">
        <w:rPr>
          <w:lang w:val="fi-FI"/>
        </w:rPr>
        <w:t xml:space="preserve"> muutos tilikauden 20</w:t>
      </w:r>
      <w:r>
        <w:rPr>
          <w:lang w:val="fi-FI"/>
        </w:rPr>
        <w:t>20</w:t>
      </w:r>
      <w:r w:rsidRPr="00B2565B">
        <w:rPr>
          <w:lang w:val="fi-FI"/>
        </w:rPr>
        <w:t xml:space="preserve"> aikana</w:t>
      </w:r>
    </w:p>
    <w:tbl>
      <w:tblPr>
        <w:tblStyle w:val="TableNormal"/>
        <w:tblCaption w:val="table_current_deferred_taxes"/>
        <w:tblDescription w:val="24. Deferred taxe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hRule="exact" w:val="255"/>
        </w:trPr>
        <w:tc>
          <w:tcPr>
            <w:tcW w:w="213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1.1.2020</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Konsernin tulos-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laskelmaan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kirjatut erät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laajan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tuloksen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erät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Muunto-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erot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Yrityshan-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kinnat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-myynnit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Laskennalliset verosaamiset</w:t>
            </w: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Vahvistetut verotappiot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Eläkevelvoitteet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Varaukset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Vaihto-omaisuuden sisäisen katteen eliminointi</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Arvonmuutosrahasto</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väliaikaiset erot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 myytävänä oleviin omaisuuseriin</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155</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Laskennalliset verovelat</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Aineelliset ja aineettomat hyödykkeet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Arvonmuutosrahasto</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väliaikaiset erot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 myytävänä oleviin omaisuuseriin</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83</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Laskennallinen nettoverosaaminen/</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-velka</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72</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w:t>
            </w:r>
          </w:p>
        </w:tc>
      </w:tr>
    </w:tbl>
    <w:p w:rsidR="00B2565B" w:rsidRPr="00D93790" w:rsidP="00B2565B" w14:paraId="0420B360" w14:textId="77777777">
      <w:pPr>
        <w:pStyle w:val="Bodytext2"/>
        <w:rPr>
          <w:lang w:val="fi-FI"/>
        </w:rPr>
      </w:pPr>
    </w:p>
    <w:p w:rsidR="00B2565B" w:rsidRPr="008534E5" w:rsidP="00B2565B" w14:paraId="69114B78" w14:textId="00A6845C">
      <w:pPr>
        <w:pStyle w:val="Bodytext2"/>
        <w:rPr>
          <w:lang w:val="fi-FI"/>
        </w:rPr>
      </w:pPr>
      <w:r w:rsidRPr="00B2565B">
        <w:rPr>
          <w:lang w:val="fi-FI"/>
        </w:rPr>
        <w:t xml:space="preserve">31.12.2020 konsernilla oli kirjaamatta </w:t>
      </w:r>
      <w:r>
        <w:rPr>
          <w:lang w:val="fi-FI"/>
        </w:rPr>
        <w:t>68</w:t>
      </w:r>
      <w:r w:rsidRPr="00B2565B">
        <w:rPr>
          <w:lang w:val="fi-FI"/>
        </w:rPr>
        <w:t xml:space="preserve"> milj. euroa (6</w:t>
      </w:r>
      <w:r>
        <w:rPr>
          <w:lang w:val="fi-FI"/>
        </w:rPr>
        <w:t>4</w:t>
      </w:r>
      <w:r w:rsidRPr="00B2565B">
        <w:rPr>
          <w:lang w:val="fi-FI"/>
        </w:rPr>
        <w:t>) laskennallista verosaamista, kos</w:t>
      </w:r>
      <w:r w:rsidRPr="00B2565B">
        <w:rPr>
          <w:lang w:val="fi-FI"/>
        </w:rPr>
        <w:t xml:space="preserve">ka niiden toteutumiseen liittyy epävarmuutta. </w:t>
      </w:r>
      <w:r w:rsidRPr="008534E5">
        <w:rPr>
          <w:lang w:val="fi-FI"/>
        </w:rPr>
        <w:t>Pääosa kirjaamattomista laskennallisista verosaamisista liittyy kertyneisiin verotukse</w:t>
      </w:r>
      <w:r>
        <w:rPr>
          <w:lang w:val="fi-FI"/>
        </w:rPr>
        <w:t>n</w:t>
      </w:r>
      <w:r w:rsidRPr="008534E5">
        <w:rPr>
          <w:lang w:val="fi-FI"/>
        </w:rPr>
        <w:t xml:space="preserve"> tappioihin. </w:t>
      </w:r>
      <w:r w:rsidRPr="00B2565B">
        <w:rPr>
          <w:lang w:val="fi-FI"/>
        </w:rPr>
        <w:t xml:space="preserve">Näistä </w:t>
      </w:r>
      <w:r>
        <w:rPr>
          <w:lang w:val="fi-FI"/>
        </w:rPr>
        <w:t>19 m</w:t>
      </w:r>
      <w:r w:rsidRPr="00B2565B">
        <w:rPr>
          <w:lang w:val="fi-FI"/>
        </w:rPr>
        <w:t>ilj. euroa (</w:t>
      </w:r>
      <w:r>
        <w:rPr>
          <w:lang w:val="fi-FI"/>
        </w:rPr>
        <w:t>29</w:t>
      </w:r>
      <w:r w:rsidRPr="00B2565B">
        <w:rPr>
          <w:lang w:val="fi-FI"/>
        </w:rPr>
        <w:t xml:space="preserve">) </w:t>
      </w:r>
      <w:r w:rsidRPr="00B2565B">
        <w:rPr>
          <w:lang w:val="fi-FI"/>
        </w:rPr>
        <w:t xml:space="preserve">vanhenee seuraavien viiden vuoden aikana ja loput myöhemmin tai ei koskaan. </w:t>
      </w:r>
      <w:r w:rsidRPr="008534E5">
        <w:rPr>
          <w:lang w:val="fi-FI"/>
        </w:rPr>
        <w:t>Pääosa verotukse</w:t>
      </w:r>
      <w:r>
        <w:rPr>
          <w:lang w:val="fi-FI"/>
        </w:rPr>
        <w:t>n</w:t>
      </w:r>
      <w:r w:rsidRPr="008534E5">
        <w:rPr>
          <w:lang w:val="fi-FI"/>
        </w:rPr>
        <w:t xml:space="preserve"> tappioista, joihin liittyen on kirjattu laskennallista verosaamista, eivät vanhene koskaan.</w:t>
      </w:r>
    </w:p>
    <w:p w:rsidR="00B2565B" w:rsidRPr="008534E5" w:rsidP="00B2565B" w14:paraId="78355A8F" w14:textId="77777777">
      <w:pPr>
        <w:pStyle w:val="Bodytext2"/>
        <w:rPr>
          <w:lang w:val="fi-FI"/>
        </w:rPr>
      </w:pPr>
    </w:p>
    <w:p w:rsidR="00B2565B" w:rsidP="00B2565B" w14:paraId="75854A12" w14:textId="1A95C140">
      <w:pPr>
        <w:pStyle w:val="Heading13"/>
        <w:rPr>
          <w:lang w:val="fi-FI"/>
        </w:rPr>
      </w:pPr>
      <w:r w:rsidRPr="00B2565B">
        <w:rPr>
          <w:lang w:val="fi-FI"/>
        </w:rPr>
        <w:t>Laskennallisten vero</w:t>
      </w:r>
      <w:r>
        <w:rPr>
          <w:lang w:val="fi-FI"/>
        </w:rPr>
        <w:t>jen</w:t>
      </w:r>
      <w:r w:rsidRPr="00B2565B">
        <w:rPr>
          <w:lang w:val="fi-FI"/>
        </w:rPr>
        <w:t xml:space="preserve"> muutos tilikauden 2019 aikana</w:t>
      </w:r>
    </w:p>
    <w:tbl>
      <w:tblPr>
        <w:tblStyle w:val="TableNormal"/>
        <w:tblCaption w:val="table_previous_deferred_taxe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hRule="exact" w:val="225"/>
        </w:trPr>
        <w:tc>
          <w:tcPr>
            <w:tcW w:w="213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4"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4" w:space="0" w:color="000000"/>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1.1.2019</w:t>
            </w:r>
          </w:p>
        </w:tc>
        <w:tc>
          <w:tcPr>
            <w:tcW w:w="870" w:type="dxa"/>
            <w:tcBorders>
              <w:top w:val="nil"/>
              <w:left w:val="nil"/>
              <w:bottom w:val="single" w:sz="4" w:space="0" w:color="000000"/>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Konsernin tulos-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laskelmaan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kirjatut erät</w:t>
            </w:r>
          </w:p>
        </w:tc>
        <w:tc>
          <w:tcPr>
            <w:tcW w:w="870" w:type="dxa"/>
            <w:tcBorders>
              <w:top w:val="nil"/>
              <w:left w:val="nil"/>
              <w:bottom w:val="single" w:sz="4" w:space="0" w:color="000000"/>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laajan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tuloksen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erät</w:t>
            </w:r>
          </w:p>
        </w:tc>
        <w:tc>
          <w:tcPr>
            <w:tcW w:w="870" w:type="dxa"/>
            <w:tcBorders>
              <w:top w:val="nil"/>
              <w:left w:val="nil"/>
              <w:bottom w:val="single" w:sz="4" w:space="0" w:color="000000"/>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Muunto-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erot</w:t>
            </w:r>
          </w:p>
        </w:tc>
        <w:tc>
          <w:tcPr>
            <w:tcW w:w="870" w:type="dxa"/>
            <w:tcBorders>
              <w:top w:val="nil"/>
              <w:left w:val="nil"/>
              <w:bottom w:val="single" w:sz="4" w:space="0" w:color="000000"/>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Yrityshan-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kinnat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-myynnit</w:t>
            </w:r>
          </w:p>
        </w:tc>
        <w:tc>
          <w:tcPr>
            <w:tcW w:w="870" w:type="dxa"/>
            <w:tcBorders>
              <w:top w:val="nil"/>
              <w:left w:val="nil"/>
              <w:bottom w:val="single" w:sz="4" w:space="0" w:color="000000"/>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0000"/>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Laskennalliset verosaamiset</w:t>
            </w:r>
          </w:p>
        </w:tc>
        <w:tc>
          <w:tcPr>
            <w:tcW w:w="870" w:type="dxa"/>
            <w:tcBorders>
              <w:top w:val="single" w:sz="4"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0000"/>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Vahvistetut verotappiot</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Eläkevelvoitteet</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Varaukset</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Vaihto-omaisuuden sisäisen katteen eliminointi</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Arvonmuutosrahasto</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väliaikaiset erot</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 myytävänä oleviin omaisuuseriin</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129</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Laskennalliset verovelat</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Aineelliset ja aineettomat hyödykkeet</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66</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Arvonmuutosrahasto</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väliaikaiset erot</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 myytävänä oleviin omaisuuseriin</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Laskennallinen nettoverosaaminen/</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-velka</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w:t>
            </w:r>
          </w:p>
        </w:tc>
      </w:tr>
    </w:tbl>
    <w:p/>
    <w:p w:rsidR="006A7C9A" w:rsidP="006A7C9A" w14:paraId="3F7BDC98" w14:textId="60AB5F6B">
      <w:pPr>
        <w:pStyle w:val="Heading12"/>
      </w:pPr>
      <w:bookmarkStart w:id="1143" w:name="RG_MARKER_4723"/>
      <w:r>
        <w:t>4.7. ELÄKEVELVOITTEET</w:t>
      </w:r>
      <w:bookmarkEnd w:id="1143"/>
    </w:p>
    <w:tbl>
      <w:tblPr>
        <w:tblStyle w:val="TableGrid"/>
        <w:tblW w:w="7371" w:type="dxa"/>
        <w:tblLook w:val="04A0"/>
      </w:tblPr>
      <w:tblGrid>
        <w:gridCol w:w="7371"/>
      </w:tblGrid>
      <w:tr w14:paraId="6A8B250B" w14:textId="77777777" w:rsidTr="006A7C9A">
        <w:tblPrEx>
          <w:tblW w:w="7371" w:type="dxa"/>
          <w:tblLook w:val="04A0"/>
        </w:tblPrEx>
        <w:tc>
          <w:tcPr>
            <w:tcW w:w="6683" w:type="dxa"/>
            <w:tcBorders>
              <w:top w:val="nil"/>
              <w:left w:val="nil"/>
              <w:bottom w:val="nil"/>
              <w:right w:val="nil"/>
            </w:tcBorders>
            <w:shd w:val="clear" w:color="auto" w:fill="B6C8D1"/>
          </w:tcPr>
          <w:p w:rsidR="006A7C9A" w:rsidRPr="00E11BB0" w14:paraId="0DCA84D2" w14:textId="4A26C52E">
            <w:pPr>
              <w:pStyle w:val="Heading13"/>
              <w:rPr>
                <w:rFonts w:eastAsiaTheme="minorEastAsia" w:cstheme="minorHAnsi"/>
                <w:lang w:val="fi-FI" w:eastAsia="fi-FI"/>
              </w:rPr>
            </w:pPr>
            <w:r w:rsidRPr="00E11BB0">
              <w:rPr>
                <w:rFonts w:eastAsiaTheme="minorEastAsia"/>
                <w:lang w:val="fi-FI" w:eastAsia="fi-FI"/>
              </w:rPr>
              <w:t>Laadintaperiaatteet</w:t>
            </w:r>
          </w:p>
          <w:p w:rsidR="006A7C9A" w:rsidRPr="00E11BB0" w14:paraId="5AF0E0AD" w14:textId="677BCCF0">
            <w:pPr>
              <w:pStyle w:val="Bodytext2"/>
              <w:rPr>
                <w:lang w:val="fi-FI"/>
              </w:rPr>
            </w:pPr>
            <w:r w:rsidRPr="003525A7">
              <w:rPr>
                <w:lang w:val="fi-FI"/>
              </w:rPr>
              <w:t xml:space="preserve">Konserniyhtiöillä on eri maissa useita eläkejärjestelyjä, jotka perustuvat paikallisiin olosuhteisiin ja käytäntöihin. </w:t>
            </w:r>
            <w:r w:rsidRPr="00E11BB0">
              <w:rPr>
                <w:lang w:val="fi-FI"/>
              </w:rPr>
              <w:t>Nämä eläkejärjestelyt luokitellaan joko maksu- tai etuuspohjaisiksi järjestelyiksi.</w:t>
            </w:r>
          </w:p>
          <w:p w:rsidR="003525A7" w:rsidRPr="00E11BB0" w14:paraId="111B82F6" w14:textId="77777777">
            <w:pPr>
              <w:pStyle w:val="Bodytext2"/>
              <w:rPr>
                <w:rFonts w:eastAsiaTheme="minorEastAsia"/>
                <w:lang w:val="fi-FI" w:eastAsia="fi-FI"/>
              </w:rPr>
            </w:pPr>
          </w:p>
          <w:p w:rsidR="006A7C9A" w:rsidRPr="00BB785F" w14:paraId="19B5F65B" w14:textId="571FF5EB">
            <w:pPr>
              <w:pStyle w:val="Bodytext2"/>
              <w:rPr>
                <w:lang w:val="fi-FI"/>
              </w:rPr>
            </w:pPr>
            <w:r w:rsidRPr="003525A7">
              <w:rPr>
                <w:lang w:val="fi-FI"/>
              </w:rPr>
              <w:t>Etuuspohjaiset eläkejärjestelyt rahoitetaan suorituk</w:t>
            </w:r>
            <w:r w:rsidRPr="003525A7">
              <w:rPr>
                <w:lang w:val="fi-FI"/>
              </w:rPr>
              <w:t>sina eläkesäätiöille tai eläkevakuutusyhtiöille. Etuuspohjaiset eläkejärjestelyt voivat olla rahastoimattomia</w:t>
            </w:r>
            <w:r>
              <w:rPr>
                <w:lang w:val="fi-FI"/>
              </w:rPr>
              <w:t xml:space="preserve"> tai</w:t>
            </w:r>
            <w:r w:rsidRPr="003525A7">
              <w:rPr>
                <w:lang w:val="fi-FI"/>
              </w:rPr>
              <w:t xml:space="preserve"> kokonaan tai osittain rahastoi</w:t>
            </w:r>
            <w:r>
              <w:rPr>
                <w:lang w:val="fi-FI"/>
              </w:rPr>
              <w:t>tuja</w:t>
            </w:r>
            <w:r w:rsidRPr="003525A7">
              <w:rPr>
                <w:lang w:val="fi-FI"/>
              </w:rPr>
              <w:t xml:space="preserve">. Etuuspohjaisten </w:t>
            </w:r>
            <w:r>
              <w:rPr>
                <w:lang w:val="fi-FI"/>
              </w:rPr>
              <w:t>eläke</w:t>
            </w:r>
            <w:r w:rsidRPr="003525A7">
              <w:rPr>
                <w:lang w:val="fi-FI"/>
              </w:rPr>
              <w:t>järjestelyjen velvoitteiden nykyarvo on määritetty kustakin järjestelystä erikseen en</w:t>
            </w:r>
            <w:r w:rsidRPr="003525A7">
              <w:rPr>
                <w:lang w:val="fi-FI"/>
              </w:rPr>
              <w:t xml:space="preserve">nakoituun etuoikeusyksikköön perustuvalla vakuutusmatemaattisella menetelmällä. </w:t>
            </w:r>
            <w:r w:rsidRPr="00BB785F">
              <w:rPr>
                <w:lang w:val="fi-FI"/>
              </w:rPr>
              <w:t>Etuuspohjaisiin eläkejärjestelyihin kuuluvat v</w:t>
            </w:r>
            <w:r w:rsidRPr="00BB785F" w:rsidR="00A21D9E">
              <w:rPr>
                <w:lang w:val="fi-FI"/>
              </w:rPr>
              <w:t>elvoitteet kirjataan vähennettynä niihin liittyvien varojen käyvillä arvoilla t</w:t>
            </w:r>
            <w:r w:rsidRPr="00BB785F">
              <w:rPr>
                <w:lang w:val="fi-FI"/>
              </w:rPr>
              <w:t>ilikauden viimeisenä päivänä</w:t>
            </w:r>
            <w:r w:rsidRPr="003525A7">
              <w:rPr>
                <w:lang w:val="fi-FI"/>
              </w:rPr>
              <w:t>.</w:t>
            </w:r>
          </w:p>
          <w:p w:rsidR="003525A7" w:rsidRPr="003525A7" w14:paraId="2A2B9174" w14:textId="77777777">
            <w:pPr>
              <w:pStyle w:val="Bodytext2"/>
              <w:rPr>
                <w:rFonts w:eastAsiaTheme="minorEastAsia"/>
                <w:lang w:val="fi-FI" w:eastAsia="fi-FI"/>
              </w:rPr>
            </w:pPr>
          </w:p>
          <w:p w:rsidR="006A7C9A" w:rsidRPr="00E11BB0" w14:paraId="71176DB8" w14:textId="2FDC6F70">
            <w:pPr>
              <w:pStyle w:val="Bodytext2"/>
              <w:rPr>
                <w:lang w:val="fi-FI"/>
              </w:rPr>
            </w:pPr>
            <w:r w:rsidRPr="003525A7">
              <w:rPr>
                <w:lang w:val="fi-FI"/>
              </w:rPr>
              <w:t>Vakuutusmatemaattist</w:t>
            </w:r>
            <w:r w:rsidRPr="003525A7">
              <w:rPr>
                <w:lang w:val="fi-FI"/>
              </w:rPr>
              <w:t>en voittojen ja tappioiden osuus sekä muut uudelleenarvostukset kirjataan muihin laajan tuloslaskelman eriin sillä kaudella, jonka aikana ne syntyvät. Työsuoritukseen perustuvana menona kirjataan tilikauden työsuorituksella ansaitun etuuspohjaisen eläkejär</w:t>
            </w:r>
            <w:r w:rsidRPr="003525A7">
              <w:rPr>
                <w:lang w:val="fi-FI"/>
              </w:rPr>
              <w:t>jestelyn nykyarvo. Etuuspohjaisesta eläkejärjestelystä syntyvä korkokustannus perustuu arvostuksessa käytettyyn diskonttokorkoon. Työsuoritukseen perustuva kustannus raportoidaan työsuhde-etuuksista aiheutuvissa kuluissa ja korkokustannukset rahoituskuluis</w:t>
            </w:r>
            <w:r w:rsidRPr="003525A7">
              <w:rPr>
                <w:lang w:val="fi-FI"/>
              </w:rPr>
              <w:t xml:space="preserve">sa. </w:t>
            </w:r>
            <w:r w:rsidRPr="00E11BB0">
              <w:rPr>
                <w:lang w:val="fi-FI"/>
              </w:rPr>
              <w:t>Etuuspohjaisten eläkejärjestelyjen laskennan suorittavat hyväksytyt vakuutusmatemaatikot.</w:t>
            </w:r>
          </w:p>
          <w:p w:rsidR="003525A7" w:rsidRPr="00E11BB0" w14:paraId="36ABE15F" w14:textId="17DEC4A8">
            <w:pPr>
              <w:pStyle w:val="Bodytext2"/>
              <w:rPr>
                <w:rFonts w:eastAsiaTheme="minorEastAsia"/>
                <w:lang w:val="fi-FI" w:eastAsia="fi-FI"/>
              </w:rPr>
            </w:pPr>
          </w:p>
          <w:p w:rsidR="003525A7" w:rsidRPr="00E11BB0" w14:paraId="582B194D" w14:textId="4756E872">
            <w:pPr>
              <w:pStyle w:val="Bodytext2"/>
              <w:rPr>
                <w:rFonts w:eastAsiaTheme="minorEastAsia"/>
                <w:lang w:val="fi-FI" w:eastAsia="fi-FI"/>
              </w:rPr>
            </w:pPr>
            <w:r w:rsidRPr="003525A7">
              <w:rPr>
                <w:rFonts w:eastAsiaTheme="minorEastAsia"/>
                <w:lang w:val="fi-FI" w:eastAsia="fi-FI"/>
              </w:rPr>
              <w:t>Etuuspohjaisten eläkejärjestelyjen lisäksi Wärtsilällä on muita pitkäaikaisia työsuhde-etuuksia, jotka esitetään erillään etuuspohjaisista eläkkeistä</w:t>
            </w:r>
            <w:r w:rsidRPr="00BB785F">
              <w:rPr>
                <w:rFonts w:eastAsiaTheme="minorEastAsia"/>
                <w:lang w:val="fi-FI" w:eastAsia="fi-FI"/>
              </w:rPr>
              <w:t>.</w:t>
            </w:r>
            <w:r w:rsidRPr="00BB785F" w:rsidR="00A21D9E">
              <w:rPr>
                <w:rFonts w:eastAsiaTheme="minorEastAsia"/>
                <w:lang w:val="fi-FI" w:eastAsia="fi-FI"/>
              </w:rPr>
              <w:t xml:space="preserve"> Velvoitteet kaikista muista </w:t>
            </w:r>
            <w:r w:rsidRPr="00BB785F">
              <w:rPr>
                <w:rFonts w:eastAsiaTheme="minorEastAsia"/>
                <w:lang w:val="fi-FI" w:eastAsia="fi-FI"/>
              </w:rPr>
              <w:t>pitkäaikais</w:t>
            </w:r>
            <w:r w:rsidRPr="00BB785F" w:rsidR="00A21D9E">
              <w:rPr>
                <w:rFonts w:eastAsiaTheme="minorEastAsia"/>
                <w:lang w:val="fi-FI" w:eastAsia="fi-FI"/>
              </w:rPr>
              <w:t>ista</w:t>
            </w:r>
            <w:r w:rsidRPr="00BB785F">
              <w:rPr>
                <w:rFonts w:eastAsiaTheme="minorEastAsia"/>
                <w:lang w:val="fi-FI" w:eastAsia="fi-FI"/>
              </w:rPr>
              <w:t xml:space="preserve"> työsuhde-etuu</w:t>
            </w:r>
            <w:r w:rsidRPr="00BB785F" w:rsidR="00A21D9E">
              <w:rPr>
                <w:rFonts w:eastAsiaTheme="minorEastAsia"/>
                <w:lang w:val="fi-FI" w:eastAsia="fi-FI"/>
              </w:rPr>
              <w:t>ksista</w:t>
            </w:r>
            <w:r w:rsidRPr="00BB785F">
              <w:rPr>
                <w:rFonts w:eastAsiaTheme="minorEastAsia"/>
                <w:lang w:val="fi-FI" w:eastAsia="fi-FI"/>
              </w:rPr>
              <w:t xml:space="preserve"> kirjataan kuten etuuspohjaiset eläkkeet</w:t>
            </w:r>
            <w:r w:rsidRPr="00BB785F" w:rsidR="00A21D9E">
              <w:rPr>
                <w:rFonts w:eastAsiaTheme="minorEastAsia"/>
                <w:lang w:val="fi-FI" w:eastAsia="fi-FI"/>
              </w:rPr>
              <w:t>, vähennettynä niihin liittyvien varojen käyvällä arvolla</w:t>
            </w:r>
            <w:r w:rsidRPr="003525A7">
              <w:rPr>
                <w:rFonts w:eastAsiaTheme="minorEastAsia"/>
                <w:lang w:val="fi-FI" w:eastAsia="fi-FI"/>
              </w:rPr>
              <w:t xml:space="preserve">. </w:t>
            </w:r>
            <w:r w:rsidRPr="00E11BB0">
              <w:rPr>
                <w:rFonts w:eastAsiaTheme="minorEastAsia"/>
                <w:lang w:val="fi-FI" w:eastAsia="fi-FI"/>
              </w:rPr>
              <w:t>Pitkäaikaisten työsuhde-etuuksien muutokset on esitetty tuloslaskelmalla.</w:t>
            </w:r>
          </w:p>
          <w:p w:rsidR="006A7C9A" w:rsidRPr="00E11BB0" w14:paraId="64C1450A" w14:textId="77777777">
            <w:pPr>
              <w:pStyle w:val="Bodytext2"/>
              <w:rPr>
                <w:rFonts w:eastAsiaTheme="minorEastAsia"/>
                <w:lang w:val="fi-FI" w:eastAsia="fi-FI"/>
              </w:rPr>
            </w:pPr>
          </w:p>
          <w:p w:rsidR="006A7C9A" w:rsidRPr="00E11BB0" w14:paraId="65828A77" w14:textId="234B9441">
            <w:pPr>
              <w:pStyle w:val="Bodytext2"/>
              <w:rPr>
                <w:rFonts w:eastAsiaTheme="minorEastAsia"/>
                <w:lang w:val="fi-FI" w:eastAsia="fi-FI"/>
              </w:rPr>
            </w:pPr>
            <w:r w:rsidRPr="003525A7">
              <w:rPr>
                <w:lang w:val="fi-FI"/>
              </w:rPr>
              <w:t xml:space="preserve">Laadintaperiaatteet maksupohjaisiin järjestelmiin liittyen on esitetty liitetiedossa 2.5. </w:t>
            </w:r>
            <w:r w:rsidRPr="00E11BB0">
              <w:rPr>
                <w:lang w:val="fi-FI"/>
              </w:rPr>
              <w:t>Työsuhde-etuuksista aiheutuvat kulut.</w:t>
            </w:r>
          </w:p>
          <w:p w:rsidR="006A7C9A" w:rsidRPr="00E11BB0" w14:paraId="5C06DE68" w14:textId="77777777">
            <w:pPr>
              <w:pStyle w:val="Bodytext2"/>
              <w:rPr>
                <w:rFonts w:eastAsiaTheme="minorEastAsia"/>
                <w:lang w:val="fi-FI" w:eastAsia="fi-FI"/>
              </w:rPr>
            </w:pPr>
          </w:p>
          <w:p w:rsidR="006A7C9A" w:rsidRPr="005F6726" w14:paraId="0E8F1A32" w14:textId="58E5F307">
            <w:pPr>
              <w:pStyle w:val="Heading13"/>
              <w:rPr>
                <w:lang w:val="fi-FI"/>
              </w:rPr>
            </w:pPr>
            <w:r w:rsidRPr="005F6726">
              <w:rPr>
                <w:lang w:val="fi-FI"/>
              </w:rPr>
              <w:t>Kirjanpidolliset arviot ja harkinnat</w:t>
            </w:r>
          </w:p>
          <w:p w:rsidR="006A7C9A" w:rsidRPr="000F6D5B" w:rsidP="003525A7" w14:paraId="22EC9E8C" w14:textId="33B6F952">
            <w:pPr>
              <w:pStyle w:val="Bodytext2"/>
              <w:rPr>
                <w:rFonts w:eastAsiaTheme="minorEastAsia"/>
                <w:color w:val="auto"/>
                <w:lang w:val="fi-FI" w:eastAsia="fi-FI"/>
              </w:rPr>
            </w:pPr>
            <w:r>
              <w:rPr>
                <w:lang w:val="fi-FI"/>
              </w:rPr>
              <w:t>Jokaisen e</w:t>
            </w:r>
            <w:r w:rsidRPr="003525A7">
              <w:rPr>
                <w:lang w:val="fi-FI"/>
              </w:rPr>
              <w:t>tuuspohjaisen eläkejärjestelyn velvoitteiden määrän arvioiminen perustuu vakuutu</w:t>
            </w:r>
            <w:r w:rsidRPr="003525A7">
              <w:rPr>
                <w:lang w:val="fi-FI"/>
              </w:rPr>
              <w:t>smatemaattisiin arvioihin koskien m</w:t>
            </w:r>
            <w:r>
              <w:rPr>
                <w:lang w:val="fi-FI"/>
              </w:rPr>
              <w:t>uun muassa</w:t>
            </w:r>
            <w:r w:rsidRPr="003525A7">
              <w:rPr>
                <w:lang w:val="fi-FI"/>
              </w:rPr>
              <w:t xml:space="preserve"> tulevia palkankorotuksia, diskonttauskorkoja ja rahastoitujen varojen tuottoja. Näiden oletusten muutokset voivat olennaisesti vaikuttaa eläkevelvoitteisiin ja eläkekuluihin.</w:t>
            </w:r>
          </w:p>
        </w:tc>
      </w:tr>
    </w:tbl>
    <w:p w:rsidR="006A7C9A" w:rsidRPr="000F6D5B" w:rsidP="006A7C9A" w14:paraId="7718FC12" w14:textId="77777777">
      <w:pPr>
        <w:pStyle w:val="Bodytext2"/>
        <w:rPr>
          <w:lang w:val="fi-FI"/>
        </w:rPr>
      </w:pPr>
    </w:p>
    <w:tbl>
      <w:tblPr>
        <w:tblStyle w:val="TableNormal"/>
        <w:tblCaption w:val="table_employee_liabilities"/>
        <w:tblW w:w="7365" w:type="dxa"/>
        <w:tblLayout w:type="fixed"/>
        <w:tblLook w:val="0600"/>
      </w:tblPr>
      <w:tblGrid>
        <w:gridCol w:w="4125"/>
        <w:gridCol w:w="1080"/>
        <w:gridCol w:w="1080"/>
        <w:gridCol w:w="1080"/>
      </w:tblGrid>
      <w:tr>
        <w:tblPrEx>
          <w:tblW w:w="7365" w:type="dxa"/>
          <w:tblLayout w:type="fixed"/>
          <w:tblLook w:val="0600"/>
        </w:tblPrEx>
        <w:trPr>
          <w:trHeight w:val="240"/>
        </w:trPr>
        <w:tc>
          <w:tcPr>
            <w:tcW w:w="4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Etuuspohjaisten eläkejärjestelyjen nettovelka 31.12.</w:t>
            </w:r>
          </w:p>
        </w:tc>
        <w:tc>
          <w:tcPr>
            <w:tcW w:w="108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139</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205"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pitkäaikaiset työsuhde-etuudet 31.12.</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bl>
    <w:p w:rsidR="006A7C9A" w:rsidRPr="003525A7" w:rsidP="006A7C9A" w14:paraId="3D23AE7F" w14:textId="77777777">
      <w:pPr>
        <w:pStyle w:val="Bodytext2"/>
        <w:rPr>
          <w:lang w:val="fi-FI"/>
        </w:rPr>
      </w:pPr>
    </w:p>
    <w:p w:rsidR="006A7C9A" w:rsidP="006A7C9A" w14:paraId="3AD3A3E3" w14:textId="06D7C2DA">
      <w:pPr>
        <w:pStyle w:val="Bodytext2"/>
        <w:rPr>
          <w:lang w:val="fi-FI"/>
        </w:rPr>
      </w:pPr>
      <w:r w:rsidRPr="006A7C9A">
        <w:rPr>
          <w:lang w:val="fi-FI"/>
        </w:rPr>
        <w:t xml:space="preserve">Wärtsilällä on etuuspohjaisia eläkejärjestelyjä pääasiassa Euroopassa ja Aasiassa. Merkittävimmät niistä sijaitsevat Sveitsissä, Saksassa, </w:t>
      </w:r>
      <w:r>
        <w:rPr>
          <w:lang w:val="fi-FI"/>
        </w:rPr>
        <w:t>Yhdistyneissä kuningaskunnissa</w:t>
      </w:r>
      <w:r w:rsidRPr="006A7C9A">
        <w:rPr>
          <w:lang w:val="fi-FI"/>
        </w:rPr>
        <w:t xml:space="preserve"> ja Ruotsissa. Sveitsin etuuspohjaisen eläkejärjestelyn osuus konsernin velvoitteiden k</w:t>
      </w:r>
      <w:r w:rsidRPr="006A7C9A">
        <w:rPr>
          <w:lang w:val="fi-FI"/>
        </w:rPr>
        <w:t>okonaismäärästä on 3</w:t>
      </w:r>
      <w:r>
        <w:rPr>
          <w:lang w:val="fi-FI"/>
        </w:rPr>
        <w:t>2</w:t>
      </w:r>
      <w:r w:rsidRPr="006A7C9A">
        <w:rPr>
          <w:lang w:val="fi-FI"/>
        </w:rPr>
        <w:t>% ja varojen kokonaismäärästä 5</w:t>
      </w:r>
      <w:r>
        <w:rPr>
          <w:lang w:val="fi-FI"/>
        </w:rPr>
        <w:t>6</w:t>
      </w:r>
      <w:r w:rsidRPr="006A7C9A">
        <w:rPr>
          <w:lang w:val="fi-FI"/>
        </w:rPr>
        <w:t xml:space="preserve">%. Suurin osa järjestelyistä tarjoaa työntekijöille elinikäisen eläkkeen tavanomaisen eläkeiän saavuttamisen </w:t>
      </w:r>
      <w:r w:rsidRPr="006A7C9A">
        <w:rPr>
          <w:lang w:val="fi-FI"/>
        </w:rPr>
        <w:t xml:space="preserve">jälkeen, mutta on myös järjestelyjä, jotka tarjoavat kertakorvauksen työntekijän saavuttaessa </w:t>
      </w:r>
      <w:r w:rsidRPr="006A7C9A">
        <w:rPr>
          <w:lang w:val="fi-FI"/>
        </w:rPr>
        <w:t>eläkeiän. Suurin osa etuuspohjaisista eläkejärjestelyistä on eläkesäätiöiden hallussa, ja niiden varat eivät sisälly konsernin varoihin. Järjestelyn varat on yleensä sijoitettu kunkin eläkesäätion hallituksen hyväksymiin kohteisiin, mutta joissain tapauksi</w:t>
      </w:r>
      <w:r w:rsidRPr="006A7C9A">
        <w:rPr>
          <w:lang w:val="fi-FI"/>
        </w:rPr>
        <w:t>ssa niitä hallinnoivat kokonaisuudessaan vakuutusyhtiöt. Konserniyhtiöiden maksut eläkesäätiöille suoritetaan kunkin maan lainsäädännön ja käytännön mukaisesti. Valtuutetut aktuaarit ovat kussakin maassa suorittaneet etuuspohjaisiin eläkejärjestelyihin lii</w:t>
      </w:r>
      <w:r w:rsidRPr="006A7C9A">
        <w:rPr>
          <w:lang w:val="fi-FI"/>
        </w:rPr>
        <w:t>ttyvät vakuutuslaskelmat.</w:t>
      </w:r>
    </w:p>
    <w:p w:rsidR="006A7C9A" w:rsidRPr="006A7C9A" w:rsidP="006A7C9A" w14:paraId="02243A5E" w14:textId="77777777">
      <w:pPr>
        <w:pStyle w:val="Bodytext2"/>
        <w:rPr>
          <w:lang w:val="fi-FI"/>
        </w:rPr>
      </w:pPr>
    </w:p>
    <w:p w:rsidR="006A7C9A" w:rsidRPr="006A7C9A" w:rsidP="006A7C9A" w14:paraId="6442FE13" w14:textId="77777777">
      <w:pPr>
        <w:pStyle w:val="Heading13"/>
        <w:rPr>
          <w:lang w:val="fi-FI"/>
        </w:rPr>
      </w:pPr>
      <w:r w:rsidRPr="006A7C9A">
        <w:rPr>
          <w:lang w:val="fi-FI"/>
        </w:rPr>
        <w:t>Sveitsin järjestely</w:t>
      </w:r>
    </w:p>
    <w:p w:rsidR="006A7C9A" w:rsidRPr="006A7C9A" w:rsidP="006A7C9A" w14:paraId="7728A302" w14:textId="77777777">
      <w:pPr>
        <w:pStyle w:val="Bodytext2"/>
        <w:rPr>
          <w:lang w:val="fi-FI"/>
        </w:rPr>
      </w:pPr>
      <w:r w:rsidRPr="006A7C9A">
        <w:rPr>
          <w:lang w:val="fi-FI"/>
        </w:rPr>
        <w:t>Wärtsilällä on Sveitsissä paikallisten eläkelakien ja -säännösten mukainen etuuspohjainen eläkejärjestely, johon osallistuville maksetaan eläkettä eläkkeelle jäämisen jälkeen. Eläke-etuus määräytyy kertyneen e</w:t>
      </w:r>
      <w:r w:rsidRPr="006A7C9A">
        <w:rPr>
          <w:lang w:val="fi-FI"/>
        </w:rPr>
        <w:t>läkepääoman mukaan ja se koostuu järjestelyyn työssäoloaikana maksetuista pääomista sekä niihin liittyvistä korkoeristä. Järjestelyä hoitaa eläkerahasto, jota johtaa yrityksen ulkopuolinen säätiön hallitus.</w:t>
      </w:r>
    </w:p>
    <w:p w:rsidR="006A7C9A" w:rsidRPr="006A7C9A" w:rsidP="006A7C9A" w14:paraId="6D027757" w14:textId="77777777">
      <w:pPr>
        <w:pStyle w:val="Bodytext2"/>
        <w:rPr>
          <w:lang w:val="fi-FI"/>
        </w:rPr>
      </w:pPr>
    </w:p>
    <w:p w:rsidR="006A7C9A" w:rsidRPr="006A7C9A" w:rsidP="006A7C9A" w14:paraId="12A928F0" w14:textId="4F895307">
      <w:pPr>
        <w:pStyle w:val="Bodytext2"/>
        <w:rPr>
          <w:lang w:val="fi-FI"/>
        </w:rPr>
      </w:pPr>
      <w:r w:rsidRPr="006A7C9A">
        <w:rPr>
          <w:lang w:val="fi-FI"/>
        </w:rPr>
        <w:t>Sekä työntekijä että työnantaja maksavat eläkejä</w:t>
      </w:r>
      <w:r w:rsidRPr="006A7C9A">
        <w:rPr>
          <w:lang w:val="fi-FI"/>
        </w:rPr>
        <w:t xml:space="preserve">rjestelyyn säätiön säännöissä määritellyn prosenttiosuuden </w:t>
      </w:r>
      <w:r w:rsidR="005F6726">
        <w:rPr>
          <w:lang w:val="fi-FI"/>
        </w:rPr>
        <w:t>vakuutetusta</w:t>
      </w:r>
      <w:r w:rsidR="001940A7">
        <w:rPr>
          <w:lang w:val="fi-FI"/>
        </w:rPr>
        <w:t xml:space="preserve"> </w:t>
      </w:r>
      <w:r w:rsidRPr="006A7C9A">
        <w:rPr>
          <w:lang w:val="fi-FI"/>
        </w:rPr>
        <w:t>palkasta. Työnantajan maksama eläkemaksu vaihtelee työntekijän iän mukaan ja se kattaa keskimäärin kaksi kolmasosaa kokonaismaksusta.</w:t>
      </w:r>
    </w:p>
    <w:p w:rsidR="006A7C9A" w:rsidRPr="006A7C9A" w:rsidP="006A7C9A" w14:paraId="7E943B0D" w14:textId="77777777">
      <w:pPr>
        <w:pStyle w:val="Bodytext2"/>
        <w:rPr>
          <w:lang w:val="fi-FI"/>
        </w:rPr>
      </w:pPr>
    </w:p>
    <w:p w:rsidR="006A7C9A" w:rsidRPr="006A7C9A" w:rsidP="006A7C9A" w14:paraId="17AA66F3" w14:textId="27441EF8">
      <w:pPr>
        <w:pStyle w:val="Bodytext2"/>
        <w:rPr>
          <w:lang w:val="fi-FI"/>
        </w:rPr>
      </w:pPr>
      <w:r w:rsidRPr="001D140F">
        <w:rPr>
          <w:color w:val="auto"/>
          <w:lang w:val="fi-FI"/>
        </w:rPr>
        <w:t>Eläkesäätiön investointistrategiasta vastaa sääti</w:t>
      </w:r>
      <w:r w:rsidRPr="001D140F">
        <w:rPr>
          <w:color w:val="auto"/>
          <w:lang w:val="fi-FI"/>
        </w:rPr>
        <w:t xml:space="preserve">ön hallitus ja varat sijoitetaan tämän strategian sekä paikallisen lainsäädännön ja käytännön mukaisesti. Järjestelyn </w:t>
      </w:r>
      <w:r w:rsidRPr="006A7C9A">
        <w:rPr>
          <w:lang w:val="fi-FI"/>
        </w:rPr>
        <w:t>muita riskejä valitun investointistrategian lisäksi ovat pidennys eliniän odotteessa sekä ennenaikainen kuolema tai vammautuminen. Eläkejä</w:t>
      </w:r>
      <w:r w:rsidRPr="006A7C9A">
        <w:rPr>
          <w:lang w:val="fi-FI"/>
        </w:rPr>
        <w:t>rjestelyt on vakuutettu kuoleman ja vammautumisriskin osalta 31.12.20</w:t>
      </w:r>
      <w:r>
        <w:rPr>
          <w:lang w:val="fi-FI"/>
        </w:rPr>
        <w:t>2</w:t>
      </w:r>
      <w:r w:rsidR="001940A7">
        <w:rPr>
          <w:lang w:val="fi-FI"/>
        </w:rPr>
        <w:t>1</w:t>
      </w:r>
      <w:r w:rsidRPr="006A7C9A">
        <w:rPr>
          <w:lang w:val="fi-FI"/>
        </w:rPr>
        <w:t>. Inflaatiosta johtuva mahdollinen maksettavien eläkkeiden nousu on säätiön hallituksen harkintavallassa, kun maksettavan eläkkeen määrä ylittää lainsäädännössä määritetyn minimieläkkee</w:t>
      </w:r>
      <w:r w:rsidRPr="006A7C9A">
        <w:rPr>
          <w:lang w:val="fi-FI"/>
        </w:rPr>
        <w:t>n.</w:t>
      </w:r>
    </w:p>
    <w:p w:rsidR="006A7C9A" w:rsidRPr="006A7C9A" w:rsidP="006A7C9A" w14:paraId="7F3C2A40" w14:textId="4DE6C227">
      <w:pPr>
        <w:pStyle w:val="Bodytext2"/>
        <w:rPr>
          <w:lang w:val="fi-FI"/>
        </w:rPr>
      </w:pPr>
    </w:p>
    <w:p w:rsidR="006A7C9A" w:rsidRPr="006A7C9A" w:rsidP="006A7C9A" w14:paraId="422DDF5F" w14:textId="7D97CFCA">
      <w:pPr>
        <w:pStyle w:val="Heading13"/>
        <w:rPr>
          <w:lang w:val="fi-FI"/>
        </w:rPr>
      </w:pPr>
      <w:r>
        <w:rPr>
          <w:lang w:val="fi-FI"/>
        </w:rPr>
        <w:t>S</w:t>
      </w:r>
      <w:r w:rsidRPr="006A7C9A">
        <w:rPr>
          <w:lang w:val="fi-FI"/>
        </w:rPr>
        <w:t>aksan järjestelyt</w:t>
      </w:r>
    </w:p>
    <w:p w:rsidR="006A7C9A" w:rsidRPr="006A7C9A" w:rsidP="006A7C9A" w14:paraId="2EAB5A0F" w14:textId="77777777">
      <w:pPr>
        <w:pStyle w:val="Bodytext2"/>
        <w:rPr>
          <w:lang w:val="fi-FI"/>
        </w:rPr>
      </w:pPr>
      <w:r w:rsidRPr="006A7C9A">
        <w:rPr>
          <w:lang w:val="fi-FI"/>
        </w:rPr>
        <w:t>Wärtsilällä on Saksassa paikallisten eläkelakien ja -säännösten mukaisia etuuspohjaisia eläkejärjestelyjä, joihin osallistuville maksetaan eläkettä eläkkeelle jäämisen jälkeen. Eläke-etuus määräytyy kertyneen eläkepääoman mukaan ja s</w:t>
      </w:r>
      <w:r w:rsidRPr="006A7C9A">
        <w:rPr>
          <w:lang w:val="fi-FI"/>
        </w:rPr>
        <w:t>e koostuu järjestelyyn työssäoloaikana maksetuista pääomista sekä niihin liittyvistä korkoeristä. Järjestelyjä on erilaisia, rahastoimattomista eläkerahaston hoitamaan järjestelyyn.</w:t>
      </w:r>
    </w:p>
    <w:p w:rsidR="006A7C9A" w:rsidRPr="006A7C9A" w:rsidP="006A7C9A" w14:paraId="7EAAAED0" w14:textId="77777777">
      <w:pPr>
        <w:pStyle w:val="Bodytext2"/>
        <w:rPr>
          <w:lang w:val="fi-FI"/>
        </w:rPr>
      </w:pPr>
    </w:p>
    <w:p w:rsidR="006A7C9A" w:rsidRPr="006A7C9A" w:rsidP="006A7C9A" w14:paraId="750158B2" w14:textId="2808E9A1">
      <w:pPr>
        <w:pStyle w:val="Bodytext2"/>
        <w:rPr>
          <w:lang w:val="fi-FI"/>
        </w:rPr>
      </w:pPr>
      <w:r w:rsidRPr="006A7C9A">
        <w:rPr>
          <w:lang w:val="fi-FI"/>
        </w:rPr>
        <w:t xml:space="preserve">Joissain järjestelyissä sekä työntekijä että työnantaja maksavat </w:t>
      </w:r>
      <w:r w:rsidRPr="006A7C9A">
        <w:rPr>
          <w:lang w:val="fi-FI"/>
        </w:rPr>
        <w:t>eläkejärjestelyyn säätiön säännöissä määritellyn prosenttiosuuden palkasta</w:t>
      </w:r>
      <w:r>
        <w:rPr>
          <w:lang w:val="fi-FI"/>
        </w:rPr>
        <w:t>,</w:t>
      </w:r>
      <w:r w:rsidRPr="006A7C9A">
        <w:rPr>
          <w:lang w:val="fi-FI"/>
        </w:rPr>
        <w:t xml:space="preserve"> mutta osassa järjestelyitä vain työnantaja on maksuvelvollinen. Työnantajan maksama eläkemaksu voi vaihdella työntekijän iän, työsuhteen keston ja työntekijän aseman mukaan.</w:t>
      </w:r>
    </w:p>
    <w:p w:rsidR="006A7C9A" w:rsidRPr="006A7C9A" w:rsidP="006A7C9A" w14:paraId="4FB49DAC" w14:textId="77777777">
      <w:pPr>
        <w:pStyle w:val="Bodytext2"/>
        <w:rPr>
          <w:lang w:val="fi-FI"/>
        </w:rPr>
      </w:pPr>
    </w:p>
    <w:p w:rsidR="006A7C9A" w:rsidRPr="003525A7" w:rsidP="006A7C9A" w14:paraId="67002182" w14:textId="1E0FD150">
      <w:pPr>
        <w:pStyle w:val="Bodytext2"/>
        <w:rPr>
          <w:lang w:val="fi-FI"/>
        </w:rPr>
      </w:pPr>
      <w:r w:rsidRPr="006A7C9A">
        <w:rPr>
          <w:lang w:val="fi-FI"/>
        </w:rPr>
        <w:t>Järje</w:t>
      </w:r>
      <w:r w:rsidRPr="006A7C9A">
        <w:rPr>
          <w:lang w:val="fi-FI"/>
        </w:rPr>
        <w:t xml:space="preserve">stelyjen riskejä ovat pidennys eliniän odotteessa, ennenaikainen kuolema tai vammautuminen sekä mahdollisen eläkesäätiön varojen hallinnoimiseksi valittu investointistrategia. </w:t>
      </w:r>
      <w:r w:rsidRPr="003525A7">
        <w:rPr>
          <w:lang w:val="fi-FI"/>
        </w:rPr>
        <w:t>Inflaatiosta johtuva maksettavien eläkkeiden nousu tarkastetaan vuosittain.</w:t>
      </w:r>
    </w:p>
    <w:p w:rsidR="006A7C9A" w:rsidRPr="003525A7" w:rsidP="006A7C9A" w14:paraId="5FDDA2A2" w14:textId="77777777">
      <w:pPr>
        <w:pStyle w:val="Bodytext2"/>
        <w:rPr>
          <w:lang w:val="fi-FI"/>
        </w:rPr>
      </w:pPr>
    </w:p>
    <w:tbl>
      <w:tblPr>
        <w:tblStyle w:val="TableNormal"/>
        <w:tblCaption w:val="table_net_pension_liability"/>
        <w:tblW w:w="7365" w:type="dxa"/>
        <w:tblLayout w:type="fixed"/>
        <w:tblLook w:val="0600"/>
      </w:tblPr>
      <w:tblGrid>
        <w:gridCol w:w="4125"/>
        <w:gridCol w:w="1080"/>
        <w:gridCol w:w="1080"/>
        <w:gridCol w:w="1080"/>
      </w:tblGrid>
      <w:tr>
        <w:tblPrEx>
          <w:tblW w:w="7365" w:type="dxa"/>
          <w:tblLayout w:type="fixed"/>
          <w:tblLook w:val="0600"/>
        </w:tblPrEx>
        <w:trPr>
          <w:trHeight w:val="240"/>
        </w:trPr>
        <w:tc>
          <w:tcPr>
            <w:tcW w:w="4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Rahastoimattomien velvoitteiden nykyarvo</w:t>
            </w:r>
          </w:p>
        </w:tc>
        <w:tc>
          <w:tcPr>
            <w:tcW w:w="108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111</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Rahastoitujen velvoitteiden nykyarvo</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Varojen käypä arvo</w:t>
            </w:r>
          </w:p>
        </w:tc>
        <w:tc>
          <w:tcPr>
            <w:tcW w:w="108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-151</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Nettovelka taseessa</w:t>
            </w:r>
          </w:p>
        </w:tc>
        <w:tc>
          <w:tcPr>
            <w:tcW w:w="1080" w:type="dxa"/>
            <w:tcBorders>
              <w:top w:val="single" w:sz="8" w:space="0" w:color="0F172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139</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155</w:t>
            </w:r>
          </w:p>
        </w:tc>
      </w:tr>
    </w:tbl>
    <w:p w:rsidR="006A7C9A" w:rsidRPr="003525A7" w:rsidP="006A7C9A" w14:paraId="5A10FA44" w14:textId="77777777">
      <w:pPr>
        <w:pStyle w:val="Bodytext2"/>
        <w:rPr>
          <w:lang w:val="fi-FI"/>
        </w:rPr>
      </w:pPr>
    </w:p>
    <w:tbl>
      <w:tblPr>
        <w:tblStyle w:val="TableNormal"/>
        <w:tblCaption w:val="table_pension_percentages"/>
        <w:tblW w:w="7365" w:type="dxa"/>
        <w:tblLayout w:type="fixed"/>
        <w:tblLook w:val="0600"/>
      </w:tblPr>
      <w:tblGrid>
        <w:gridCol w:w="4125"/>
        <w:gridCol w:w="1080"/>
        <w:gridCol w:w="1080"/>
        <w:gridCol w:w="1080"/>
      </w:tblGrid>
      <w:tr>
        <w:tblPrEx>
          <w:tblW w:w="7365" w:type="dxa"/>
          <w:tblLayout w:type="fixed"/>
          <w:tblLook w:val="0600"/>
        </w:tblPrEx>
        <w:trPr>
          <w:trHeight w:val="240"/>
        </w:trPr>
        <w:tc>
          <w:tcPr>
            <w:tcW w:w="4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108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Etuus-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pohjaisen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velvoitteen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nykyarvo</w:t>
            </w:r>
          </w:p>
        </w:tc>
        <w:tc>
          <w:tcPr>
            <w:tcW w:w="108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Järjestelyyn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kuuluvien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varojen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käypä arvo</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Sveitsi</w:t>
            </w:r>
          </w:p>
        </w:tc>
        <w:tc>
          <w:tcPr>
            <w:tcW w:w="108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Saksa</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 Eurooppa</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Aasia</w:t>
            </w: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80" w:type="dxa"/>
            <w:tcBorders>
              <w:top w:val="single" w:sz="8" w:space="0" w:color="0F172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r>
    </w:tbl>
    <w:p w:rsidR="006A7C9A" w:rsidP="006A7C9A" w14:paraId="27F60339" w14:textId="77777777">
      <w:pPr>
        <w:pStyle w:val="Bodytext2"/>
      </w:pPr>
    </w:p>
    <w:tbl>
      <w:tblPr>
        <w:tblStyle w:val="TableNormal"/>
        <w:tblCaption w:val="table_pension_obligations"/>
        <w:tblW w:w="7365" w:type="dxa"/>
        <w:tblLayout w:type="fixed"/>
        <w:tblLook w:val="0600"/>
      </w:tblPr>
      <w:tblGrid>
        <w:gridCol w:w="4125"/>
        <w:gridCol w:w="1080"/>
        <w:gridCol w:w="1080"/>
        <w:gridCol w:w="1080"/>
      </w:tblGrid>
      <w:tr>
        <w:tblPrEx>
          <w:tblW w:w="7365" w:type="dxa"/>
          <w:tblLayout w:type="fixed"/>
          <w:tblLook w:val="0600"/>
        </w:tblPrEx>
        <w:trPr>
          <w:trHeight w:val="240"/>
        </w:trPr>
        <w:tc>
          <w:tcPr>
            <w:tcW w:w="4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Etuus-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pohjaisen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velvoitteen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nykyarvo</w:t>
            </w:r>
          </w:p>
        </w:tc>
        <w:tc>
          <w:tcPr>
            <w:tcW w:w="108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Järjestelyyn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kuuluvien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varojen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käypä arvo</w:t>
            </w:r>
          </w:p>
        </w:tc>
        <w:tc>
          <w:tcPr>
            <w:tcW w:w="108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Etuus-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pohjainen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nettovelka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Velvoitteiden ja varojen arvo 1.1.2019</w:t>
            </w:r>
          </w:p>
        </w:tc>
        <w:tc>
          <w:tcPr>
            <w:tcW w:w="108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282</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-134</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Kirjattu tuloslaskelmaan:</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Kauden työsuoritukseen perustuva meno</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Voitot (-) / tappiot (+) velvoitteen täyttämisestä</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Korkokulu (+) / korkotuotto (-)</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Uudelleenmäärittämisestä johtuvat erät muissa laajan tuloslaskelman erissä:</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Järjestelyyn kuuluvien varojen tuotto, pois lukien korkotuotto</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Kokemusperusteiset oikaisut</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Väestötilastollisten oletusten muutokset</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Taloudellisten oletusten muutokset</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Järjestelyyn osallisten maksusuoritukset</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Työnantajan maksusuoritukset</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Maksetut etuudet</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 myytävänä oleviin omaisuuseriin</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Velvoitteiden ja varojen arvo 31.12.2019</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299</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-146</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Velvoitteiden ja varojen arvo 1.1.2020</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299</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-146</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Valuuttakurssimuutokset</w:t>
            </w:r>
          </w:p>
        </w:tc>
        <w:tc>
          <w:tcPr>
            <w:tcW w:w="108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Kirjattu tuloslaskelmaan:</w:t>
            </w:r>
          </w:p>
        </w:tc>
        <w:tc>
          <w:tcPr>
            <w:tcW w:w="1080" w:type="dxa"/>
            <w:tcBorders>
              <w:top w:val="nil"/>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Kauden työsuoritukseen perustuva meno</w:t>
            </w:r>
          </w:p>
        </w:tc>
        <w:tc>
          <w:tcPr>
            <w:tcW w:w="108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Aiempaan työsuoritukseen perustuva meno</w:t>
            </w:r>
          </w:p>
        </w:tc>
        <w:tc>
          <w:tcPr>
            <w:tcW w:w="108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Voitot (-) / tappiot (+) velvoitteen täyttämisestä</w:t>
            </w:r>
          </w:p>
        </w:tc>
        <w:tc>
          <w:tcPr>
            <w:tcW w:w="108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Korkokulu (+) / korkotuotto (-)</w:t>
            </w:r>
          </w:p>
        </w:tc>
        <w:tc>
          <w:tcPr>
            <w:tcW w:w="108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Uudelleenmäärittämisestä johtuvat erät muissa laajan tuloslaskelman erissä:</w:t>
            </w: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Järjestelyyn kuuluvien varojen tuotto, pois lukien korkotuotto</w:t>
            </w:r>
          </w:p>
        </w:tc>
        <w:tc>
          <w:tcPr>
            <w:tcW w:w="108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Kokemusperusteiset oikaisut</w:t>
            </w:r>
          </w:p>
        </w:tc>
        <w:tc>
          <w:tcPr>
            <w:tcW w:w="108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nil"/>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Taloudellisten oletusten muutokset</w:t>
            </w:r>
          </w:p>
        </w:tc>
        <w:tc>
          <w:tcPr>
            <w:tcW w:w="108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080"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Järjestelyyn osallisten maksusuoritukset</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Työnantajan maksusuoritukset</w:t>
            </w: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Maksetut etuudet</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Uudelleenryhmittely myytävänä oleviin omaisuuseriin</w:t>
            </w: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08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Velvoitteiden ja varojen arvo 31.12.2020</w:t>
            </w: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290</w:t>
            </w: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-151</w:t>
            </w: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139</w:t>
            </w:r>
          </w:p>
        </w:tc>
      </w:tr>
    </w:tbl>
    <w:p w:rsidR="006A7C9A" w:rsidP="006A7C9A" w14:paraId="5C15DBEB" w14:textId="77777777">
      <w:pPr>
        <w:pStyle w:val="Bodytext2"/>
      </w:pPr>
    </w:p>
    <w:p w:rsidR="006A7C9A" w:rsidP="006A7C9A" w14:paraId="4DA2AC20" w14:textId="77777777">
      <w:pPr>
        <w:pStyle w:val="Bodytext2"/>
      </w:pPr>
    </w:p>
    <w:p w:rsidR="006A7C9A" w:rsidRPr="006A7C9A" w:rsidP="006A7C9A" w14:paraId="0B27E9FA" w14:textId="1547D07F">
      <w:pPr>
        <w:pStyle w:val="Heading13"/>
        <w:rPr>
          <w:lang w:val="fi-FI"/>
        </w:rPr>
      </w:pPr>
      <w:r w:rsidRPr="006A7C9A">
        <w:rPr>
          <w:lang w:val="fi-FI"/>
        </w:rPr>
        <w:t>Järjestelyyn kuuluvien varojen jakautuminen omaisuusryhmittäin:</w:t>
      </w:r>
    </w:p>
    <w:tbl>
      <w:tblPr>
        <w:tblStyle w:val="TableNormal"/>
        <w:tblCaption w:val="table_plan_investments"/>
        <w:tblW w:w="7365" w:type="dxa"/>
        <w:tblLayout w:type="fixed"/>
        <w:tblLook w:val="0600"/>
      </w:tblPr>
      <w:tblGrid>
        <w:gridCol w:w="4125"/>
        <w:gridCol w:w="1080"/>
        <w:gridCol w:w="1080"/>
        <w:gridCol w:w="1080"/>
      </w:tblGrid>
      <w:tr>
        <w:tblPrEx>
          <w:tblW w:w="7365" w:type="dxa"/>
          <w:tblLayout w:type="fixed"/>
          <w:tblLook w:val="0600"/>
        </w:tblPrEx>
        <w:trPr>
          <w:trHeight w:val="240"/>
        </w:trPr>
        <w:tc>
          <w:tcPr>
            <w:tcW w:w="4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108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Oman pääoman ehtoiset instrumentit</w:t>
            </w: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Joukkovelkakirjat ja muut rahoitusinstrumentit</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Kiinteistöt</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r>
    </w:tbl>
    <w:p w:rsidR="006A7C9A" w:rsidRPr="005B6D21" w:rsidP="006A7C9A" w14:paraId="40349888" w14:textId="2FAF62DA">
      <w:pPr>
        <w:pStyle w:val="Bodytext2"/>
        <w:rPr>
          <w:sz w:val="2"/>
          <w:szCs w:val="2"/>
          <w:lang w:val="fi-FI"/>
        </w:rPr>
      </w:pPr>
      <w:r>
        <w:rPr>
          <w:lang w:val="fi-FI"/>
        </w:rPr>
        <w:br w:type="column"/>
      </w:r>
    </w:p>
    <w:p w:rsidR="006A7C9A" w:rsidRPr="006A7C9A" w:rsidP="006A7C9A" w14:paraId="3CCC5CFE" w14:textId="36527980">
      <w:pPr>
        <w:pStyle w:val="Heading13"/>
        <w:rPr>
          <w:lang w:val="fi-FI"/>
        </w:rPr>
      </w:pPr>
      <w:r w:rsidRPr="006A7C9A">
        <w:rPr>
          <w:lang w:val="fi-FI"/>
        </w:rPr>
        <w:t xml:space="preserve">Tärkeimmät vakuutusmatemaattiset oletukset tilikauden lopussa ovat </w:t>
      </w:r>
      <w:r w:rsidRPr="006A7C9A">
        <w:rPr>
          <w:lang w:val="fi-FI"/>
        </w:rPr>
        <w:t>(ilmoitettu painotettuna keskiarvona):</w:t>
      </w:r>
    </w:p>
    <w:tbl>
      <w:tblPr>
        <w:tblStyle w:val="TableNormal"/>
        <w:tblCaption w:val="table_actuarial_assumptions"/>
        <w:tblW w:w="7365" w:type="dxa"/>
        <w:tblLayout w:type="fixed"/>
        <w:tblLook w:val="0600"/>
      </w:tblPr>
      <w:tblGrid>
        <w:gridCol w:w="4125"/>
        <w:gridCol w:w="1080"/>
        <w:gridCol w:w="1080"/>
        <w:gridCol w:w="1080"/>
      </w:tblGrid>
      <w:tr>
        <w:tblPrEx>
          <w:tblW w:w="7365" w:type="dxa"/>
          <w:tblLayout w:type="fixed"/>
          <w:tblLook w:val="0600"/>
        </w:tblPrEx>
        <w:trPr>
          <w:trHeight w:val="240"/>
        </w:trPr>
        <w:tc>
          <w:tcPr>
            <w:tcW w:w="41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108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w:t>
            </w: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Palkkojen nousu</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Eläkkeiden nousu</w:t>
            </w: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1,14</w:t>
            </w:r>
          </w:p>
        </w:tc>
      </w:tr>
    </w:tbl>
    <w:p w:rsidR="005B6D21" w:rsidP="006A7C9A" w14:paraId="0E41032A" w14:textId="77777777">
      <w:pPr>
        <w:pStyle w:val="Bodytext2"/>
        <w:rPr>
          <w:lang w:val="fi-FI"/>
        </w:rPr>
      </w:pPr>
    </w:p>
    <w:p w:rsidR="006A7C9A" w:rsidP="006A7C9A" w14:paraId="5D242D85" w14:textId="099AAF3A">
      <w:pPr>
        <w:pStyle w:val="Bodytext2"/>
        <w:rPr>
          <w:lang w:val="fi-FI"/>
        </w:rPr>
      </w:pPr>
      <w:r w:rsidRPr="006A7C9A">
        <w:rPr>
          <w:lang w:val="fi-FI"/>
        </w:rPr>
        <w:t>31.12.20</w:t>
      </w:r>
      <w:r>
        <w:rPr>
          <w:lang w:val="fi-FI"/>
        </w:rPr>
        <w:t xml:space="preserve">20 </w:t>
      </w:r>
      <w:r w:rsidRPr="006A7C9A">
        <w:rPr>
          <w:lang w:val="fi-FI"/>
        </w:rPr>
        <w:t xml:space="preserve">etuuspohjaisten velvoitteiden duraation painotettu keskiarvo oli </w:t>
      </w:r>
      <w:r>
        <w:rPr>
          <w:lang w:val="fi-FI"/>
        </w:rPr>
        <w:t>8</w:t>
      </w:r>
      <w:r w:rsidRPr="006A7C9A">
        <w:rPr>
          <w:lang w:val="fi-FI"/>
        </w:rPr>
        <w:t xml:space="preserve"> vuotta</w:t>
      </w:r>
      <w:r>
        <w:rPr>
          <w:lang w:val="fi-FI"/>
        </w:rPr>
        <w:t xml:space="preserve"> (12)</w:t>
      </w:r>
      <w:r w:rsidRPr="006A7C9A">
        <w:rPr>
          <w:lang w:val="fi-FI"/>
        </w:rPr>
        <w:t xml:space="preserve">. Konserni odottaa maksavansa </w:t>
      </w:r>
      <w:r>
        <w:rPr>
          <w:lang w:val="fi-FI"/>
        </w:rPr>
        <w:t>3</w:t>
      </w:r>
      <w:r w:rsidRPr="006A7C9A">
        <w:rPr>
          <w:lang w:val="fi-FI"/>
        </w:rPr>
        <w:t xml:space="preserve"> milj. euroa</w:t>
      </w:r>
      <w:r>
        <w:rPr>
          <w:lang w:val="fi-FI"/>
        </w:rPr>
        <w:t xml:space="preserve"> (7)</w:t>
      </w:r>
      <w:r w:rsidRPr="006A7C9A">
        <w:rPr>
          <w:lang w:val="fi-FI"/>
        </w:rPr>
        <w:t xml:space="preserve"> etuuspohjaisiin järjestelyihin seuraavan tilikauden aikana.</w:t>
      </w:r>
    </w:p>
    <w:p w:rsidR="006A7C9A" w:rsidRPr="006A7C9A" w:rsidP="006A7C9A" w14:paraId="1E7CF494" w14:textId="77777777">
      <w:pPr>
        <w:pStyle w:val="Bodytext2"/>
        <w:rPr>
          <w:lang w:val="fi-FI"/>
        </w:rPr>
      </w:pPr>
    </w:p>
    <w:p w:rsidR="006A7C9A" w:rsidP="006A7C9A" w14:paraId="02158B87" w14:textId="3ABF882A">
      <w:pPr>
        <w:pStyle w:val="Bodytext2"/>
        <w:rPr>
          <w:lang w:val="fi-FI"/>
        </w:rPr>
      </w:pPr>
      <w:r w:rsidRPr="006A7C9A">
        <w:rPr>
          <w:lang w:val="fi-FI"/>
        </w:rPr>
        <w:t>Tulevaisuuden kuolleisuusolettama perustuu aktuaarien laskelmiin, jotka pohjautuvat kussakin maassa julkaistuihin tilastoihin ja kokemuksiin. Näiden perusteella arvioitu painotettu keskimääräine</w:t>
      </w:r>
      <w:r w:rsidRPr="006A7C9A">
        <w:rPr>
          <w:lang w:val="fi-FI"/>
        </w:rPr>
        <w:t>n jäljellä oleva elinikä eläkeiän saavuttamisen jälkeen on seuraava:</w:t>
      </w:r>
    </w:p>
    <w:p w:rsidR="006A7C9A" w:rsidRPr="003525A7" w:rsidP="006A7C9A" w14:paraId="60D78826" w14:textId="77777777">
      <w:pPr>
        <w:pStyle w:val="Bodytext2"/>
        <w:rPr>
          <w:lang w:val="fi-FI"/>
        </w:rPr>
      </w:pPr>
    </w:p>
    <w:tbl>
      <w:tblPr>
        <w:tblStyle w:val="TableNormal"/>
        <w:tblCaption w:val="table_plan_participants"/>
        <w:tblW w:w="7365" w:type="dxa"/>
        <w:tblLayout w:type="fixed"/>
        <w:tblLook w:val="0600"/>
      </w:tblPr>
      <w:tblGrid>
        <w:gridCol w:w="4125"/>
        <w:gridCol w:w="1080"/>
        <w:gridCol w:w="1080"/>
        <w:gridCol w:w="1080"/>
      </w:tblGrid>
      <w:tr>
        <w:tblPrEx>
          <w:tblW w:w="7365" w:type="dxa"/>
          <w:tblLayout w:type="fixed"/>
          <w:tblLook w:val="0600"/>
        </w:tblPrEx>
        <w:trPr>
          <w:trHeight w:val="225"/>
        </w:trPr>
        <w:tc>
          <w:tcPr>
            <w:tcW w:w="412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Järjestelyyn kuuluvien henkilöiden eläkeikä tilikauden lopussa:</w:t>
            </w:r>
          </w:p>
        </w:tc>
        <w:tc>
          <w:tcPr>
            <w:tcW w:w="108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miehet</w:t>
            </w:r>
          </w:p>
        </w:tc>
        <w:tc>
          <w:tcPr>
            <w:tcW w:w="1080" w:type="dxa"/>
            <w:tcBorders>
              <w:top w:val="single" w:sz="4" w:space="0" w:color="004A6B"/>
              <w:left w:val="nil"/>
              <w:bottom w:val="single" w:sz="4" w:space="0" w:color="004A6B"/>
              <w:right w:val="nil"/>
              <w:tl2br w:val="nil"/>
              <w:tr2bl w:val="nil"/>
            </w:tcBorders>
            <w:shd w:val="clear" w:color="FFFFFF" w:fill="FFFFFF"/>
            <w:noWrap/>
            <w:tcMar>
              <w:left w:w="36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17,3</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naiset</w:t>
            </w:r>
          </w:p>
        </w:tc>
        <w:tc>
          <w:tcPr>
            <w:tcW w:w="1080" w:type="dxa"/>
            <w:tcBorders>
              <w:top w:val="single" w:sz="4" w:space="0" w:color="004A6B"/>
              <w:left w:val="nil"/>
              <w:bottom w:val="single" w:sz="4" w:space="0" w:color="004A6B"/>
              <w:right w:val="nil"/>
              <w:tl2br w:val="nil"/>
              <w:tr2bl w:val="nil"/>
            </w:tcBorders>
            <w:shd w:val="clear" w:color="FFFFFF" w:fill="FFFFFF"/>
            <w:noWrap/>
            <w:tcMar>
              <w:left w:w="36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19,8</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Järjestelyyn kuuluvien henkilöiden eläkeikä 20 vuoden kuluttua tilikauden päättymisestä:</w:t>
            </w:r>
          </w:p>
        </w:tc>
        <w:tc>
          <w:tcPr>
            <w:tcW w:w="108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miehet</w:t>
            </w:r>
          </w:p>
        </w:tc>
        <w:tc>
          <w:tcPr>
            <w:tcW w:w="1080" w:type="dxa"/>
            <w:tcBorders>
              <w:top w:val="single" w:sz="4" w:space="0" w:color="004A6B"/>
              <w:left w:val="nil"/>
              <w:bottom w:val="single" w:sz="4" w:space="0" w:color="004A6B"/>
              <w:right w:val="nil"/>
              <w:tl2br w:val="nil"/>
              <w:tr2bl w:val="nil"/>
            </w:tcBorders>
            <w:shd w:val="clear" w:color="FFFFFF" w:fill="FFFFFF"/>
            <w:noWrap/>
            <w:tcMar>
              <w:left w:w="36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17,0</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naiset</w:t>
            </w:r>
          </w:p>
        </w:tc>
        <w:tc>
          <w:tcPr>
            <w:tcW w:w="1080" w:type="dxa"/>
            <w:tcBorders>
              <w:top w:val="single" w:sz="4" w:space="0" w:color="004A6B"/>
              <w:left w:val="nil"/>
              <w:bottom w:val="single" w:sz="4" w:space="0" w:color="004A6B"/>
              <w:right w:val="nil"/>
              <w:tl2br w:val="nil"/>
              <w:tr2bl w:val="nil"/>
            </w:tcBorders>
            <w:shd w:val="clear" w:color="FFFFFF" w:fill="FFFFFF"/>
            <w:noWrap/>
            <w:tcMar>
              <w:left w:w="36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19,1</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20,4</w:t>
            </w:r>
          </w:p>
        </w:tc>
      </w:tr>
    </w:tbl>
    <w:p w:rsidR="006A7C9A" w:rsidRPr="003525A7" w:rsidP="006A7C9A" w14:paraId="19FCCD18" w14:textId="77777777">
      <w:pPr>
        <w:pStyle w:val="Bodytext2"/>
        <w:rPr>
          <w:lang w:val="fi-FI"/>
        </w:rPr>
      </w:pPr>
    </w:p>
    <w:p w:rsidR="006A7C9A" w:rsidP="006A7C9A" w14:paraId="29B17E73" w14:textId="79A2BBE4">
      <w:pPr>
        <w:pStyle w:val="Bodytext2"/>
        <w:rPr>
          <w:lang w:val="fi-FI"/>
        </w:rPr>
      </w:pPr>
      <w:r>
        <w:rPr>
          <w:lang w:val="fi-FI"/>
        </w:rPr>
        <w:t>Jokaiselle merkittävälle vakuutusmatemaattiselle oletukselle tehdyt herkkyysanalyysit on esitetty alla olevassa taulukossa. Taulukosta käy ilmi miten muutok</w:t>
      </w:r>
      <w:r>
        <w:rPr>
          <w:lang w:val="fi-FI"/>
        </w:rPr>
        <w:t>set vakuutusmatemaattisissa oletuksissa, jotka olisivat olleet kohtuullisissa määrin mahdollisia tilikauden lopussa, olisivat vaikuttaneet etuuspohjaisten eläkejärjestelyjen velvoitteisiin. Tehdyt</w:t>
      </w:r>
      <w:r>
        <w:rPr>
          <w:lang w:val="fi-FI"/>
        </w:rPr>
        <w:t xml:space="preserve"> herkkyysanalyysit</w:t>
      </w:r>
      <w:r>
        <w:rPr>
          <w:lang w:val="fi-FI"/>
        </w:rPr>
        <w:t xml:space="preserve"> soveltuvat</w:t>
      </w:r>
      <w:r>
        <w:rPr>
          <w:lang w:val="fi-FI"/>
        </w:rPr>
        <w:t xml:space="preserve"> vain etuuspohjaisten eläkejärjeste</w:t>
      </w:r>
      <w:r>
        <w:rPr>
          <w:lang w:val="fi-FI"/>
        </w:rPr>
        <w:t>lyjen velvoitteisiin eikä etuuspohjaisiin eläkevelkoihin kokonaisuudessaan.</w:t>
      </w:r>
    </w:p>
    <w:p w:rsidR="006A7C9A" w:rsidP="006A7C9A" w14:paraId="194CD09B" w14:textId="77777777">
      <w:pPr>
        <w:pStyle w:val="Bodytext2"/>
        <w:rPr>
          <w:lang w:val="fi-FI"/>
        </w:rPr>
      </w:pPr>
    </w:p>
    <w:p w:rsidR="006A7C9A" w:rsidRPr="003525A7" w:rsidP="006A7C9A" w14:paraId="32EB8115" w14:textId="77777777">
      <w:pPr>
        <w:pStyle w:val="Heading13"/>
        <w:rPr>
          <w:lang w:val="fi-FI"/>
        </w:rPr>
      </w:pPr>
      <w:r w:rsidRPr="003525A7">
        <w:rPr>
          <w:lang w:val="fi-FI"/>
        </w:rPr>
        <w:t>Herkkyysanalyysi</w:t>
      </w:r>
    </w:p>
    <w:p w:rsidR="006A7C9A" w:rsidRPr="003525A7" w:rsidP="006A7C9A" w14:paraId="72B73EC6" w14:textId="77777777">
      <w:pPr>
        <w:pStyle w:val="Bodytext2"/>
        <w:rPr>
          <w:lang w:val="fi-FI"/>
        </w:rPr>
      </w:pPr>
    </w:p>
    <w:tbl>
      <w:tblPr>
        <w:tblStyle w:val="TableNormal"/>
        <w:tblCaption w:val="table_pension_sensitivity"/>
        <w:tblW w:w="7365" w:type="dxa"/>
        <w:tblLayout w:type="fixed"/>
        <w:tblLook w:val="0600"/>
      </w:tblPr>
      <w:tblGrid>
        <w:gridCol w:w="4125"/>
        <w:gridCol w:w="1080"/>
        <w:gridCol w:w="1080"/>
        <w:gridCol w:w="1080"/>
      </w:tblGrid>
      <w:tr>
        <w:tblPrEx>
          <w:tblW w:w="7365" w:type="dxa"/>
          <w:tblLayout w:type="fixed"/>
          <w:tblLook w:val="0600"/>
        </w:tblPrEx>
        <w:trPr>
          <w:trHeight w:val="240"/>
        </w:trPr>
        <w:tc>
          <w:tcPr>
            <w:tcW w:w="412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2160" w:type="dxa"/>
            <w:gridSpan w:val="2"/>
            <w:tcBorders>
              <w:top w:val="nil"/>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Etuuspohjaisten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eläkejärjestelyjen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nettovelvoitteet, MEUR</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2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8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Muutokset oletuksissa</w:t>
            </w:r>
          </w:p>
        </w:tc>
        <w:tc>
          <w:tcPr>
            <w:tcW w:w="108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1%</w:t>
            </w: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Diskonttauskorko</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1%</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Palkkojen nousu</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1%</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Palkkojen nousu</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1%</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Eläkkeiden nousu</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kasvu 1%</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Eläkkeiden nousu</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lasku 1%</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r>
    </w:tbl>
    <w:p w:rsidR="004A0DF2" w:rsidRPr="003525A7" w:rsidP="006A7C9A" w14:textId="6B529759">
      <w:pPr>
        <w:pStyle w:val="Bodytext2"/>
        <w:rPr>
          <w:sz w:val="2"/>
          <w:szCs w:val="2"/>
          <w:lang w:val="fi-FI"/>
        </w:rPr>
      </w:pPr>
      <w:r w:rsidRPr="003525A7">
        <w:rPr>
          <w:sz w:val="2"/>
          <w:szCs w:val="2"/>
          <w:lang w:val="fi-FI"/>
        </w:rPr>
        <w:br w:type="column"/>
      </w:r>
    </w:p>
    <w:p w:rsidR="002E1CC5" w:rsidRPr="002E1CC5" w:rsidP="002E1CC5" w14:paraId="0F6BCAD6" w14:textId="6FC5B4AC">
      <w:pPr>
        <w:pStyle w:val="Heading11"/>
        <w:rPr>
          <w:lang w:val="fi-FI"/>
        </w:rPr>
      </w:pPr>
      <w:bookmarkStart w:id="1144" w:name="RG_MARKER_4717"/>
      <w:bookmarkStart w:id="1145" w:name="RG_MARKER_3740"/>
      <w:r w:rsidRPr="002E1CC5">
        <w:rPr>
          <w:lang w:val="fi-FI"/>
        </w:rPr>
        <w:t>5. PÄÄOMARAKENNE JA RAHOITUSERÄT</w:t>
      </w:r>
      <w:bookmarkEnd w:id="1145"/>
      <w:bookmarkEnd w:id="1144"/>
    </w:p>
    <w:p w:rsidR="002E1CC5" w:rsidRPr="002E1CC5" w:rsidP="002E1CC5" w14:paraId="355128A4" w14:textId="3A7F13B2">
      <w:pPr>
        <w:pStyle w:val="Heading12"/>
        <w:rPr>
          <w:lang w:val="fi-FI"/>
        </w:rPr>
      </w:pPr>
      <w:r w:rsidRPr="002E1CC5">
        <w:rPr>
          <w:lang w:val="fi-FI"/>
        </w:rPr>
        <w:t>5.1. RAHOITUSTUOTOT JA -KULUT</w:t>
      </w:r>
    </w:p>
    <w:tbl>
      <w:tblPr>
        <w:tblStyle w:val="TableGrid0"/>
        <w:tblW w:w="7371" w:type="dxa"/>
        <w:tblInd w:w="5" w:type="dxa"/>
        <w:tblLook w:val="04A0"/>
      </w:tblPr>
      <w:tblGrid>
        <w:gridCol w:w="7371"/>
      </w:tblGrid>
      <w:tr w14:paraId="47695652" w14:textId="77777777" w:rsidTr="002E1CC5">
        <w:tblPrEx>
          <w:tblW w:w="7371" w:type="dxa"/>
          <w:tblInd w:w="5" w:type="dxa"/>
          <w:tblLook w:val="04A0"/>
        </w:tblPrEx>
        <w:tc>
          <w:tcPr>
            <w:tcW w:w="7371" w:type="dxa"/>
            <w:shd w:val="clear" w:color="auto" w:fill="B6C8D1"/>
          </w:tcPr>
          <w:p w:rsidR="002E1CC5" w:rsidRPr="00883D12" w14:paraId="0590FE90" w14:textId="39EE173E">
            <w:pPr>
              <w:pStyle w:val="Heading13"/>
              <w:rPr>
                <w:rFonts w:cstheme="minorHAnsi"/>
              </w:rPr>
            </w:pPr>
            <w:r w:rsidRPr="00883D12">
              <w:t>Laadintaperiaatteet</w:t>
            </w:r>
          </w:p>
          <w:p w:rsidR="002E1CC5" w14:paraId="1BE2F1C3" w14:textId="1720B31E">
            <w:pPr>
              <w:pStyle w:val="Bodytext2"/>
            </w:pPr>
            <w:r w:rsidRPr="002E1CC5">
              <w:t>Eläkejärjestelyihin liittyvät työsuoritukseen perustuvat kustannu</w:t>
            </w:r>
            <w:r>
              <w:t xml:space="preserve">kset </w:t>
            </w:r>
            <w:r w:rsidRPr="002E1CC5">
              <w:t>raportoidaan työsuhde-etuuksista aiheutuvissa kuluissa ja korkokustannukset rahoituskuluissa.</w:t>
            </w:r>
            <w:r>
              <w:t xml:space="preserve"> </w:t>
            </w:r>
            <w:r w:rsidR="00D30BAF">
              <w:t>Rahoitustuottoihin ja -kuluihin sisältyy myös l</w:t>
            </w:r>
            <w:r w:rsidRPr="00D30BAF" w:rsidR="00D30BAF">
              <w:t>iiketoimintaan liitty</w:t>
            </w:r>
            <w:r w:rsidR="00D30BAF">
              <w:t xml:space="preserve">mättömien </w:t>
            </w:r>
            <w:r w:rsidRPr="00D30BAF" w:rsidR="00D30BAF">
              <w:t>osakeomistusten käyvän arvon muutoksista ja myynnistä aiheutuvat</w:t>
            </w:r>
            <w:r w:rsidR="00D30BAF">
              <w:t xml:space="preserve"> </w:t>
            </w:r>
            <w:r w:rsidRPr="00D30BAF" w:rsidR="00D30BAF">
              <w:t>voitot ja tappiot sekä arvonalentumistappiot</w:t>
            </w:r>
            <w:r w:rsidR="00D30BAF">
              <w:t>.</w:t>
            </w:r>
          </w:p>
          <w:p w:rsidR="00D30BAF" w:rsidRPr="002E1CC5" w14:paraId="5C844B21" w14:textId="77777777">
            <w:pPr>
              <w:pStyle w:val="Bodytext2"/>
            </w:pPr>
          </w:p>
          <w:p w:rsidR="00080D1A" w:rsidRPr="00080D1A" w14:paraId="1BA4155E" w14:textId="58F214D2">
            <w:pPr>
              <w:pStyle w:val="Bodytext2"/>
            </w:pPr>
            <w:bookmarkStart w:id="1146" w:name="_Hlk56591324"/>
            <w:r w:rsidRPr="00080D1A">
              <w:t xml:space="preserve">Muutokset Wärtsilä-konsernin lainaportfoliota vastaan otettujen korkosuojien käyvissä arvoissa kirjataan välittömästi tuloslaskelman rahoitustuottoihin tai -kuluihin. Koronvaihtosopimusten käyvät arvot lasketaan diskonttaamalla </w:t>
            </w:r>
            <w:r w:rsidRPr="00080D1A">
              <w:t>tulevaisuuden rahavirrat.</w:t>
            </w:r>
          </w:p>
          <w:p w:rsidR="00080D1A" w:rsidRPr="00080D1A" w14:paraId="73D40236" w14:textId="77777777">
            <w:pPr>
              <w:pStyle w:val="Bodytext2"/>
              <w:rPr>
                <w:highlight w:val="red"/>
              </w:rPr>
            </w:pPr>
          </w:p>
          <w:p w:rsidR="002E1CC5" w:rsidRPr="00D30BAF" w14:paraId="73455F63" w14:textId="6E5BA538">
            <w:pPr>
              <w:pStyle w:val="Bodytext2"/>
            </w:pPr>
            <w:bookmarkEnd w:id="1146"/>
            <w:r w:rsidRPr="00D30BAF">
              <w:t>Rahoitusvaroihin ja -velkoihin liittyvät kurssierot esitetään tuloslaskelman rahoituserissä pois lukien sellaisista pitkäaikaisista lainoista syntyvät kurssierot, jotka ovat osa konsernin tytäryhtiöön tekemää nettosijoitusta.</w:t>
            </w:r>
          </w:p>
        </w:tc>
      </w:tr>
    </w:tbl>
    <w:p w:rsidR="002E1CC5" w:rsidRPr="00D30BAF" w:rsidP="002E1CC5" w14:paraId="2F215D49" w14:textId="77777777">
      <w:pPr>
        <w:pStyle w:val="Bodytext2"/>
        <w:rPr>
          <w:lang w:val="fi-FI"/>
        </w:rPr>
      </w:pPr>
    </w:p>
    <w:tbl>
      <w:tblPr>
        <w:tblStyle w:val="TableNormal"/>
        <w:tblCaption w:val="table_51"/>
        <w:tblW w:w="7350" w:type="dxa"/>
        <w:tblLayout w:type="fixed"/>
        <w:tblLook w:val="0600"/>
      </w:tblPr>
      <w:tblGrid>
        <w:gridCol w:w="4860"/>
        <w:gridCol w:w="1245"/>
        <w:gridCol w:w="1245"/>
      </w:tblGrid>
      <w:tr>
        <w:tblPrEx>
          <w:tblW w:w="7350" w:type="dxa"/>
          <w:tblLayout w:type="fixed"/>
          <w:tblLook w:val="0600"/>
        </w:tblPrEx>
        <w:trPr>
          <w:trHeight w:hRule="exact" w:val="244"/>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Korkotuotot lainoista ja saamisista</w:t>
            </w:r>
          </w:p>
        </w:tc>
        <w:tc>
          <w:tcPr>
            <w:tcW w:w="12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4"/>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Korkotuotot käypään arvoon tulosvaikutteisesti kirjattavista rahoitusvaroista</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Korkotuotot jaksotettuun hankintamenoon kirjattavista eristä</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rahoitustuotot</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Rahoitustuotot yhteensä</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4"/>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Korkokulut jaksotettuun hankintamenoon kirjattavista rahoitusveloista</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Korkokulut jaksotettuun hankintamenoon kirjattavista vuokrasopimusveloista</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4"/>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Korkokulut käypään arvoon tulosvaikutteisesti kirjattavista rahoitusveloista</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Nettokorot etuuspohjaisista eläkejärjestelyistä</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4"/>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Käypään arvoon tulosvaikutteisesti kirjattavien rahoitusvarojen ja -velkojen arvonmuutokset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Valuuttakurssierot*</w:t>
            </w:r>
          </w:p>
        </w:tc>
        <w:tc>
          <w:tcPr>
            <w:tcW w:w="12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12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Lainojen palkkiokulut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rahoituskulut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Rahoituskulut yhteensä</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4"/>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r>
    </w:tbl>
    <w:p w:rsidR="002E1CC5" w:rsidRPr="00883D12" w:rsidP="002E1CC5" w14:paraId="7C49139F" w14:textId="77777777">
      <w:pPr>
        <w:pStyle w:val="Bodytext2"/>
        <w:rPr>
          <w:lang w:val="fi-FI"/>
        </w:rPr>
      </w:pPr>
    </w:p>
    <w:p w:rsidR="004A0DF2" w:rsidRPr="002E1CC5" w:rsidP="002E1CC5" w14:textId="5D4E150A">
      <w:pPr>
        <w:pStyle w:val="Bodytext2"/>
        <w:rPr>
          <w:lang w:val="fi-FI"/>
        </w:rPr>
      </w:pPr>
      <w:r w:rsidRPr="002E1CC5">
        <w:rPr>
          <w:lang w:val="fi-FI"/>
        </w:rPr>
        <w:t>* Vuonna 20</w:t>
      </w:r>
      <w:r>
        <w:rPr>
          <w:lang w:val="fi-FI"/>
        </w:rPr>
        <w:t>20</w:t>
      </w:r>
      <w:r w:rsidRPr="002E1CC5">
        <w:rPr>
          <w:lang w:val="fi-FI"/>
        </w:rPr>
        <w:t xml:space="preserve"> kurssieroihin sisältyi </w:t>
      </w:r>
      <w:r>
        <w:rPr>
          <w:lang w:val="fi-FI"/>
        </w:rPr>
        <w:t>-1</w:t>
      </w:r>
      <w:r w:rsidRPr="002E1CC5">
        <w:rPr>
          <w:lang w:val="fi-FI"/>
        </w:rPr>
        <w:t xml:space="preserve"> milj. euroa (-</w:t>
      </w:r>
      <w:r>
        <w:rPr>
          <w:lang w:val="fi-FI"/>
        </w:rPr>
        <w:t>5</w:t>
      </w:r>
      <w:r w:rsidRPr="002E1CC5">
        <w:rPr>
          <w:lang w:val="fi-FI"/>
        </w:rPr>
        <w:t xml:space="preserve">) </w:t>
      </w:r>
      <w:r w:rsidRPr="00924973">
        <w:rPr>
          <w:lang w:val="fi-FI"/>
        </w:rPr>
        <w:t>tilausten projektien peruuttamisesta</w:t>
      </w:r>
      <w:r w:rsidRPr="002E1CC5">
        <w:rPr>
          <w:lang w:val="fi-FI"/>
        </w:rPr>
        <w:t xml:space="preserve"> johtuvaa rahavirtasuojausten tehotonta osuutta ja </w:t>
      </w:r>
      <w:r>
        <w:rPr>
          <w:lang w:val="fi-FI"/>
        </w:rPr>
        <w:t>-10</w:t>
      </w:r>
      <w:r w:rsidRPr="002E1CC5">
        <w:rPr>
          <w:lang w:val="fi-FI"/>
        </w:rPr>
        <w:t xml:space="preserve"> milj. euroa (-</w:t>
      </w:r>
      <w:r>
        <w:rPr>
          <w:lang w:val="fi-FI"/>
        </w:rPr>
        <w:t>8</w:t>
      </w:r>
      <w:r w:rsidRPr="002E1CC5">
        <w:rPr>
          <w:lang w:val="fi-FI"/>
        </w:rPr>
        <w:t>) kurssieroa suojaamattomista sisäisistä lainoista.</w:t>
      </w:r>
    </w:p>
    <w:p/>
    <w:p w:rsidR="007C6C5F" w:rsidP="007C6C5F" w14:paraId="063F1645" w14:textId="77777777">
      <w:pPr>
        <w:pStyle w:val="Heading12"/>
      </w:pPr>
      <w:bookmarkStart w:id="1147" w:name="RG_MARKER_4716"/>
      <w:r>
        <w:t>5.2. RAHOITUSVARAT JA -VELAT ARVOSTUSRYHMITTÄIN</w:t>
      </w:r>
      <w:bookmarkEnd w:id="1147"/>
    </w:p>
    <w:tbl>
      <w:tblPr>
        <w:tblStyle w:val="TableGrid"/>
        <w:tblW w:w="7371" w:type="dxa"/>
        <w:tblLook w:val="04A0"/>
      </w:tblPr>
      <w:tblGrid>
        <w:gridCol w:w="7371"/>
      </w:tblGrid>
      <w:tr w14:paraId="0D2C1FC8" w14:textId="77777777" w:rsidTr="007C6C5F">
        <w:tblPrEx>
          <w:tblW w:w="7371" w:type="dxa"/>
          <w:tblLook w:val="04A0"/>
        </w:tblPrEx>
        <w:tc>
          <w:tcPr>
            <w:tcW w:w="7371" w:type="dxa"/>
            <w:tcBorders>
              <w:top w:val="nil"/>
              <w:left w:val="nil"/>
              <w:bottom w:val="nil"/>
              <w:right w:val="nil"/>
            </w:tcBorders>
            <w:shd w:val="clear" w:color="auto" w:fill="B6C8D1"/>
          </w:tcPr>
          <w:p w:rsidR="007C6C5F" w:rsidRPr="007C6C5F" w14:paraId="3D461727" w14:textId="77777777">
            <w:pPr>
              <w:pStyle w:val="Heading13"/>
              <w:rPr>
                <w:rFonts w:eastAsiaTheme="minorEastAsia" w:cstheme="minorHAnsi"/>
                <w:lang w:val="fi-FI" w:eastAsia="fi-FI"/>
              </w:rPr>
            </w:pPr>
            <w:r w:rsidRPr="007C6C5F">
              <w:rPr>
                <w:lang w:val="fi-FI"/>
              </w:rPr>
              <w:t>Laadintaperiaatteet</w:t>
            </w:r>
          </w:p>
          <w:p w:rsidR="007C6C5F" w:rsidRPr="007C6C5F" w14:paraId="44F314F3" w14:textId="77777777">
            <w:pPr>
              <w:pStyle w:val="Heading13"/>
              <w:rPr>
                <w:rFonts w:eastAsiaTheme="minorEastAsia" w:cstheme="minorHAnsi"/>
                <w:lang w:val="fi-FI" w:eastAsia="fi-FI"/>
              </w:rPr>
            </w:pPr>
            <w:r w:rsidRPr="007C6C5F">
              <w:rPr>
                <w:lang w:val="fi-FI"/>
              </w:rPr>
              <w:t>Rahoitusinstrumentit</w:t>
            </w:r>
          </w:p>
          <w:p w:rsidR="007C6C5F" w14:paraId="3C7789B1" w14:textId="44EBF6BB">
            <w:pPr>
              <w:pStyle w:val="Bodytext2"/>
              <w:rPr>
                <w:rFonts w:eastAsiaTheme="minorEastAsia"/>
                <w:color w:val="0F172B"/>
                <w:lang w:val="fi-FI" w:eastAsia="fi-FI"/>
              </w:rPr>
            </w:pPr>
            <w:r>
              <w:rPr>
                <w:color w:val="0F172B"/>
                <w:lang w:val="fi-FI"/>
              </w:rPr>
              <w:t xml:space="preserve">Rahoitusinstrumentit kirjataan alun perin taseeseen käypään arvoon. Myöhemmin rahoitusvarat luokitellaan ja arvostetaan joko jaksotettuun </w:t>
            </w:r>
            <w:r>
              <w:rPr>
                <w:color w:val="0F172B"/>
                <w:lang w:val="fi-FI"/>
              </w:rPr>
              <w:t>hankintamenoon, käypään arvoon tulosvaikutteisesti tai käypään arvoon muiden laajan tuloksen erien kautta. Rahoitusvarojen luokittelu riippuu liiketoimintamallista ja omaisuuserän rahavirtaominaisuuksista. Rahoitusvelat luokitellaan ja arvostetaan myöhemmi</w:t>
            </w:r>
            <w:r>
              <w:rPr>
                <w:color w:val="0F172B"/>
                <w:lang w:val="fi-FI"/>
              </w:rPr>
              <w:t>n joko jaksotettuun hankintamenoon tai käypään arvoon tulosvaikutteisesti.</w:t>
            </w:r>
          </w:p>
          <w:p w:rsidR="007C6C5F" w14:paraId="50EA15DB" w14:textId="77777777">
            <w:pPr>
              <w:pStyle w:val="Bodytext2"/>
              <w:rPr>
                <w:rFonts w:eastAsiaTheme="minorEastAsia"/>
                <w:color w:val="0F172B"/>
                <w:lang w:val="fi-FI" w:eastAsia="fi-FI"/>
              </w:rPr>
            </w:pPr>
          </w:p>
          <w:p w:rsidR="007C6C5F" w14:paraId="3F554222" w14:textId="77777777">
            <w:pPr>
              <w:pStyle w:val="Bodytext2"/>
              <w:rPr>
                <w:color w:val="0F172B"/>
                <w:lang w:val="fi-FI"/>
              </w:rPr>
            </w:pPr>
            <w:r>
              <w:rPr>
                <w:color w:val="0F172B"/>
                <w:lang w:val="fi-FI"/>
              </w:rPr>
              <w:t xml:space="preserve">Rahoitusinstrumentit luokitellaan lyhytaikaisiksi, ellei niiden maturiteetti ylitä 12:ta kuukautta raportointipäivästä eteenpäin. Rahoitusinstrumentti kirjataan pois taseesta vain </w:t>
            </w:r>
            <w:r>
              <w:rPr>
                <w:color w:val="0F172B"/>
                <w:lang w:val="fi-FI"/>
              </w:rPr>
              <w:t>silloin, kun se lakkaa olemasta olemassa, eli kun sopimusperusteinen oikeus tai velvoite täytetään, kumotaan tai sen voimassaolo lakkaa. Rahoitusinstrumenttien tilanne arvioidaan kunakin raportointipäivänä.</w:t>
            </w:r>
          </w:p>
          <w:p w:rsidR="007C6C5F" w:rsidRPr="007C6C5F" w14:paraId="44D6E872" w14:textId="77777777">
            <w:pPr>
              <w:pStyle w:val="Bodytext2"/>
              <w:rPr>
                <w:rFonts w:eastAsiaTheme="minorEastAsia"/>
                <w:color w:val="0F172B"/>
                <w:lang w:val="fi-FI" w:eastAsia="fi-FI"/>
              </w:rPr>
            </w:pPr>
          </w:p>
          <w:p w:rsidR="007C6C5F" w14:paraId="03A02BF1" w14:textId="77777777">
            <w:pPr>
              <w:pStyle w:val="Heading13"/>
              <w:rPr>
                <w:rFonts w:eastAsiaTheme="minorEastAsia" w:cstheme="minorHAnsi"/>
                <w:lang w:val="fi-FI" w:eastAsia="fi-FI"/>
              </w:rPr>
            </w:pPr>
            <w:r>
              <w:rPr>
                <w:lang w:val="fi-FI"/>
              </w:rPr>
              <w:t>Jaksotettuun hankintamenoon arvostettavat rahoit</w:t>
            </w:r>
            <w:r>
              <w:rPr>
                <w:lang w:val="fi-FI"/>
              </w:rPr>
              <w:t>usinstrumentit</w:t>
            </w:r>
          </w:p>
          <w:p w:rsidR="007C6C5F" w14:paraId="32C27DD1" w14:textId="77777777">
            <w:pPr>
              <w:pStyle w:val="Heading13"/>
              <w:rPr>
                <w:rFonts w:eastAsiaTheme="minorEastAsia" w:cstheme="minorHAnsi"/>
                <w:lang w:val="fi-FI" w:eastAsia="fi-FI"/>
              </w:rPr>
            </w:pPr>
            <w:r>
              <w:rPr>
                <w:lang w:val="fi-FI"/>
              </w:rPr>
              <w:t>Rahoitusvarat</w:t>
            </w:r>
          </w:p>
          <w:p w:rsidR="007C6C5F" w14:paraId="6A61766B" w14:textId="6516D113">
            <w:pPr>
              <w:pStyle w:val="Bodytext2"/>
              <w:rPr>
                <w:color w:val="0F172B"/>
                <w:lang w:val="fi-FI"/>
              </w:rPr>
            </w:pPr>
            <w:r>
              <w:rPr>
                <w:color w:val="0F172B"/>
                <w:lang w:val="fi-FI"/>
              </w:rPr>
              <w:t>Jaksotettuun hankintamenoon arvostettavat rahoitusvarat sisältävät rahavarat, sijoitukset velkainstrumentteihin, yritystodistusohjelmat, myyntisaamiset ja muut saamiset. Omaisuuserät kirjataan alun perin käypään arvoon vähennet</w:t>
            </w:r>
            <w:r>
              <w:rPr>
                <w:color w:val="0F172B"/>
                <w:lang w:val="fi-FI"/>
              </w:rPr>
              <w:t>tynä transaktiomenoilla, ja myöhemmin jaksotettuun hankintamenoon soveltamalla efektiivisen koron menetelmää. Näiden omaisuuserien tarkoitus on kerätä sopimukseen perustuvia rahavirtoja, jotka ovat yksinomaan lainan pääoman ja korkojen maksuja. Korkotuotot</w:t>
            </w:r>
            <w:r>
              <w:rPr>
                <w:color w:val="0F172B"/>
                <w:lang w:val="fi-FI"/>
              </w:rPr>
              <w:t xml:space="preserve"> kirjataan </w:t>
            </w:r>
            <w:r w:rsidR="00124770">
              <w:rPr>
                <w:color w:val="0F172B"/>
                <w:lang w:val="fi-FI"/>
              </w:rPr>
              <w:t xml:space="preserve">tuloslaskelmalla </w:t>
            </w:r>
            <w:r>
              <w:rPr>
                <w:color w:val="0F172B"/>
                <w:lang w:val="fi-FI"/>
              </w:rPr>
              <w:t>rahoitustuottoihin.</w:t>
            </w:r>
          </w:p>
          <w:p w:rsidR="007C6C5F" w:rsidRPr="007C6C5F" w14:paraId="3808C941" w14:textId="77777777">
            <w:pPr>
              <w:pStyle w:val="Bodytext2"/>
              <w:rPr>
                <w:color w:val="0F172B"/>
                <w:lang w:val="fi-FI"/>
              </w:rPr>
            </w:pPr>
          </w:p>
          <w:p w:rsidR="007C6C5F" w14:paraId="441D890C" w14:textId="77777777">
            <w:pPr>
              <w:pStyle w:val="Bodytext2"/>
              <w:rPr>
                <w:color w:val="0F172B"/>
                <w:lang w:val="fi-FI"/>
              </w:rPr>
            </w:pPr>
            <w:r w:rsidRPr="007C6C5F">
              <w:rPr>
                <w:color w:val="0F172B"/>
                <w:lang w:val="fi-FI"/>
              </w:rPr>
              <w:t xml:space="preserve">Konserni soveltaa IFRS 9:n sallimaa yksinkertaistettua menettelyä myyntisaatavista odotettavissa oleville luottotappioille. </w:t>
            </w:r>
            <w:r>
              <w:rPr>
                <w:color w:val="0F172B"/>
                <w:lang w:val="fi-FI"/>
              </w:rPr>
              <w:t>Sen mukaan saamisen alkuperäisen kirjaamisen yhteydessä on aina arvostettava siihen</w:t>
            </w:r>
            <w:r>
              <w:rPr>
                <w:color w:val="0F172B"/>
                <w:lang w:val="fi-FI"/>
              </w:rPr>
              <w:t xml:space="preserve"> liittyvää tappiota koskeva vähennyserä määrään, joka vastaa saamisen koko voimassaoloajalta odotettavissa olevia luottotappioita. Lisätietoa liitetiedossa 4.2. Myyntisaamiset ja sopimukseen perustuvat varat ja velat.</w:t>
            </w:r>
          </w:p>
          <w:p w:rsidR="007C6C5F" w:rsidRPr="007C6C5F" w14:paraId="3C1F614F" w14:textId="77777777">
            <w:pPr>
              <w:pStyle w:val="Bodytext2"/>
              <w:rPr>
                <w:rFonts w:eastAsiaTheme="minorEastAsia"/>
                <w:color w:val="0F172B"/>
                <w:lang w:val="fi-FI" w:eastAsia="fi-FI"/>
              </w:rPr>
            </w:pPr>
          </w:p>
          <w:p w:rsidR="007C6C5F" w:rsidRPr="007C6C5F" w14:paraId="1AE4E646" w14:textId="77777777">
            <w:pPr>
              <w:pStyle w:val="Heading13"/>
              <w:rPr>
                <w:rFonts w:eastAsiaTheme="minorEastAsia" w:cstheme="minorHAnsi"/>
                <w:lang w:val="fi-FI" w:eastAsia="fi-FI"/>
              </w:rPr>
            </w:pPr>
            <w:r w:rsidRPr="007C6C5F">
              <w:rPr>
                <w:lang w:val="fi-FI"/>
              </w:rPr>
              <w:t>Rahoitusvelat</w:t>
            </w:r>
          </w:p>
          <w:p w:rsidR="007C6C5F" w:rsidRPr="007C6C5F" w14:paraId="5A62C559" w14:textId="2B6537B4">
            <w:pPr>
              <w:pStyle w:val="Bodytext2"/>
              <w:rPr>
                <w:color w:val="0F172B"/>
                <w:lang w:val="fi-FI"/>
              </w:rPr>
            </w:pPr>
            <w:r>
              <w:rPr>
                <w:color w:val="0F172B"/>
                <w:lang w:val="fi-FI"/>
              </w:rPr>
              <w:t>Jaksotettuun hankintame</w:t>
            </w:r>
            <w:r>
              <w:rPr>
                <w:color w:val="0F172B"/>
                <w:lang w:val="fi-FI"/>
              </w:rPr>
              <w:t xml:space="preserve">noon arvostettavat rahoitusvelat sisältävät ostovelat ja muut velat, lainat ja luotot. Nämä velat kirjataan alun perin käypään arvoon vähennettynä velkojen hankintaan liittyvillä transaktiomenoilla, ja myöhemmin ne luokitellaan ja arvostetaan soveltamalla </w:t>
            </w:r>
            <w:r>
              <w:rPr>
                <w:color w:val="0F172B"/>
                <w:lang w:val="fi-FI"/>
              </w:rPr>
              <w:t xml:space="preserve">efektiivisen koron menetelmää lyhentämällä velkaa sen maturiteetin aikaisilla diskontattuilla korkomaksuilla. </w:t>
            </w:r>
            <w:r w:rsidRPr="007C6C5F">
              <w:rPr>
                <w:color w:val="0F172B"/>
                <w:lang w:val="fi-FI"/>
              </w:rPr>
              <w:t>Korkomenot kirjataan</w:t>
            </w:r>
            <w:r w:rsidR="00124770">
              <w:rPr>
                <w:color w:val="0F172B"/>
                <w:lang w:val="fi-FI"/>
              </w:rPr>
              <w:t xml:space="preserve"> tuloslaskelmalla</w:t>
            </w:r>
            <w:r w:rsidRPr="007C6C5F">
              <w:rPr>
                <w:color w:val="0F172B"/>
                <w:lang w:val="fi-FI"/>
              </w:rPr>
              <w:t xml:space="preserve"> rahoituskuluihin.</w:t>
            </w:r>
          </w:p>
          <w:p w:rsidR="007C6C5F" w:rsidRPr="007C6C5F" w14:paraId="1A39D0D5" w14:textId="77777777">
            <w:pPr>
              <w:pStyle w:val="Bodytext2"/>
              <w:rPr>
                <w:rFonts w:eastAsiaTheme="minorEastAsia"/>
                <w:color w:val="0F172B"/>
                <w:lang w:val="fi-FI" w:eastAsia="fi-FI"/>
              </w:rPr>
            </w:pPr>
          </w:p>
          <w:p w:rsidR="007C6C5F" w14:paraId="370D4BA1" w14:textId="77777777">
            <w:pPr>
              <w:pStyle w:val="Heading13"/>
              <w:rPr>
                <w:rFonts w:eastAsiaTheme="minorEastAsia" w:cstheme="minorHAnsi"/>
                <w:lang w:val="fi-FI" w:eastAsia="fi-FI"/>
              </w:rPr>
            </w:pPr>
            <w:r>
              <w:rPr>
                <w:lang w:val="fi-FI"/>
              </w:rPr>
              <w:t>Käypään arvoon tulosvaikutteisesti arvostettavat rahoitusinstrumentit</w:t>
            </w:r>
          </w:p>
          <w:p w:rsidR="007C6C5F" w14:paraId="141B2793" w14:textId="77777777">
            <w:pPr>
              <w:pStyle w:val="Heading13"/>
              <w:rPr>
                <w:rFonts w:eastAsiaTheme="minorEastAsia" w:cstheme="minorHAnsi"/>
                <w:lang w:val="fi-FI" w:eastAsia="fi-FI"/>
              </w:rPr>
            </w:pPr>
            <w:r>
              <w:rPr>
                <w:lang w:val="fi-FI"/>
              </w:rPr>
              <w:t>Rahoitusvarat</w:t>
            </w:r>
          </w:p>
          <w:p w:rsidR="007C6C5F" w14:paraId="70C9DBD6" w14:textId="77777777">
            <w:pPr>
              <w:pStyle w:val="Bodytext2"/>
              <w:rPr>
                <w:color w:val="0F172B"/>
                <w:lang w:val="fi-FI"/>
              </w:rPr>
            </w:pPr>
            <w:r>
              <w:rPr>
                <w:color w:val="0F172B"/>
                <w:lang w:val="fi-FI"/>
              </w:rPr>
              <w:t>Käypä</w:t>
            </w:r>
            <w:r>
              <w:rPr>
                <w:color w:val="0F172B"/>
                <w:lang w:val="fi-FI"/>
              </w:rPr>
              <w:t>än arvoon tulosvaikutteisesti arvostettavat rahoitusvarat sisältävät muut sijoitukset, muut lyhytaikaiset rahavarat ja suojauslaskennan ulkopuolella olevat johdannaisinstrumenit. Näihin sisältyy sijoitukset muihin yhtiöihin (listatut ja listaamattomat osak</w:t>
            </w:r>
            <w:r>
              <w:rPr>
                <w:color w:val="0F172B"/>
                <w:lang w:val="fi-FI"/>
              </w:rPr>
              <w:t>keet).</w:t>
            </w:r>
          </w:p>
          <w:p w:rsidR="007C6C5F" w14:paraId="0B038BBE" w14:textId="77777777">
            <w:pPr>
              <w:pStyle w:val="Bodytext2"/>
              <w:rPr>
                <w:color w:val="0F172B"/>
                <w:lang w:val="fi-FI"/>
              </w:rPr>
            </w:pPr>
          </w:p>
          <w:p w:rsidR="007C6C5F" w14:paraId="2214BA30" w14:textId="4D8887D0">
            <w:pPr>
              <w:pStyle w:val="Bodytext2"/>
              <w:rPr>
                <w:color w:val="0F172B"/>
                <w:lang w:val="fi-FI"/>
              </w:rPr>
            </w:pPr>
            <w:r>
              <w:rPr>
                <w:color w:val="0F172B"/>
                <w:lang w:val="fi-FI"/>
              </w:rPr>
              <w:t>Kun tällaisia rahoitusvaroja kirjataan pois taseesta, niihin liittyvät käypien arvojen muutokset sekä voitot ja tappiot kirjataan tuloslaskelmaan.</w:t>
            </w:r>
          </w:p>
          <w:p w:rsidR="007C6C5F" w:rsidRPr="007C6C5F" w14:paraId="103785D4" w14:textId="77777777">
            <w:pPr>
              <w:pStyle w:val="Bodytext2"/>
              <w:rPr>
                <w:rFonts w:eastAsiaTheme="minorEastAsia"/>
                <w:color w:val="0F172B"/>
                <w:lang w:val="fi-FI" w:eastAsia="fi-FI"/>
              </w:rPr>
            </w:pPr>
          </w:p>
          <w:p w:rsidR="007C6C5F" w14:paraId="3D15C6F2" w14:textId="0EAE7E81">
            <w:pPr>
              <w:pStyle w:val="Bodytext2"/>
              <w:rPr>
                <w:color w:val="0F172B"/>
                <w:lang w:val="fi-FI"/>
              </w:rPr>
            </w:pPr>
            <w:r>
              <w:rPr>
                <w:color w:val="0F172B"/>
                <w:lang w:val="fi-FI"/>
              </w:rPr>
              <w:t xml:space="preserve">Operatiiviseen liiketoimintaan kuuluvien osakkeiden myynnit ja alaskirjaukset, kuten myös voitot ja </w:t>
            </w:r>
            <w:r>
              <w:rPr>
                <w:color w:val="0F172B"/>
                <w:lang w:val="fi-FI"/>
              </w:rPr>
              <w:t>tappiot niiden käypään arvoon arvostamisesta, on kirjattu liiketoiminnan muihin tuottoihin tai kuluihin tuloslaskelmalla. Muiden osakkeiden myynnit ja alaskirjaukset, kuten myös voitot ja tappiot niiden käypään arvoon arvostamisesta, on kirjattu</w:t>
            </w:r>
            <w:r w:rsidR="00900DF6">
              <w:rPr>
                <w:color w:val="0F172B"/>
                <w:lang w:val="fi-FI"/>
              </w:rPr>
              <w:t xml:space="preserve"> tuloslaskelmalla</w:t>
            </w:r>
            <w:r>
              <w:rPr>
                <w:color w:val="0F172B"/>
                <w:lang w:val="fi-FI"/>
              </w:rPr>
              <w:t xml:space="preserve"> rahoitustuottoihin tai -kuluihin.</w:t>
            </w:r>
          </w:p>
          <w:p w:rsidR="007C6C5F" w:rsidRPr="007C6C5F" w14:paraId="077DFCD9" w14:textId="77777777">
            <w:pPr>
              <w:pStyle w:val="Bodytext2"/>
              <w:rPr>
                <w:rFonts w:eastAsiaTheme="minorEastAsia"/>
                <w:color w:val="0F172B"/>
                <w:lang w:val="fi-FI" w:eastAsia="fi-FI"/>
              </w:rPr>
            </w:pPr>
          </w:p>
          <w:p w:rsidR="007C6C5F" w:rsidRPr="007C6C5F" w14:paraId="0759B686" w14:textId="77777777">
            <w:pPr>
              <w:pStyle w:val="Heading13"/>
              <w:rPr>
                <w:rFonts w:eastAsiaTheme="minorEastAsia" w:cstheme="minorHAnsi"/>
                <w:lang w:val="fi-FI" w:eastAsia="fi-FI"/>
              </w:rPr>
            </w:pPr>
            <w:r w:rsidRPr="007C6C5F">
              <w:rPr>
                <w:lang w:val="fi-FI"/>
              </w:rPr>
              <w:t>Rahoitusvelat</w:t>
            </w:r>
          </w:p>
          <w:p w:rsidR="007C6C5F" w14:paraId="17BBF42B" w14:textId="77777777">
            <w:pPr>
              <w:pStyle w:val="Bodytext2"/>
              <w:rPr>
                <w:color w:val="0F172B"/>
                <w:lang w:val="fi-FI"/>
              </w:rPr>
            </w:pPr>
            <w:r>
              <w:rPr>
                <w:color w:val="0F172B"/>
                <w:lang w:val="fi-FI"/>
              </w:rPr>
              <w:t>Käypään arvoon tulosvaikutteisesti arvostettavat rahoitusvelat sisältävät johdannaisinstrumentit, jotka eivät täytä suojauslaskennan soveltamisedellytyksiä.</w:t>
            </w:r>
          </w:p>
          <w:p w:rsidR="007C6C5F" w:rsidRPr="007C6C5F" w14:paraId="2092E605" w14:textId="77777777">
            <w:pPr>
              <w:pStyle w:val="Bodytext2"/>
              <w:rPr>
                <w:rFonts w:eastAsiaTheme="minorEastAsia"/>
                <w:color w:val="0F172B"/>
                <w:lang w:val="fi-FI" w:eastAsia="fi-FI"/>
              </w:rPr>
            </w:pPr>
          </w:p>
          <w:p w:rsidR="007C6C5F" w14:paraId="3E8F23D6" w14:textId="1C7BBBBD">
            <w:pPr>
              <w:pStyle w:val="Bodytext2"/>
              <w:rPr>
                <w:color w:val="0F172B"/>
                <w:lang w:val="fi-FI"/>
              </w:rPr>
            </w:pPr>
            <w:r>
              <w:rPr>
                <w:color w:val="0F172B"/>
                <w:lang w:val="fi-FI"/>
              </w:rPr>
              <w:t xml:space="preserve">Kun tällaisia </w:t>
            </w:r>
            <w:r>
              <w:rPr>
                <w:color w:val="0F172B"/>
                <w:lang w:val="fi-FI"/>
              </w:rPr>
              <w:t>rahoitusvelkoja kirjataan pois taseesta, niihin liittyvät käypien arvojen muutokset sekä voitot ja tappiot kirjataan tuloslaskelmaan.</w:t>
            </w:r>
          </w:p>
          <w:p w:rsidR="007C6C5F" w14:paraId="145E904D" w14:textId="77777777">
            <w:pPr>
              <w:pStyle w:val="Bodytext2"/>
              <w:rPr>
                <w:rFonts w:eastAsiaTheme="minorEastAsia"/>
                <w:color w:val="0F172B"/>
                <w:lang w:val="fi-FI" w:eastAsia="fi-FI"/>
              </w:rPr>
            </w:pPr>
          </w:p>
          <w:p w:rsidR="007C6C5F" w14:paraId="0AD29F5C" w14:textId="77777777">
            <w:pPr>
              <w:pStyle w:val="Heading13"/>
              <w:rPr>
                <w:rFonts w:eastAsiaTheme="minorEastAsia" w:cstheme="minorHAnsi"/>
                <w:lang w:val="fi-FI" w:eastAsia="fi-FI"/>
              </w:rPr>
            </w:pPr>
            <w:r>
              <w:rPr>
                <w:lang w:val="fi-FI"/>
              </w:rPr>
              <w:t>Käypään arvoon muiden laajan tuloksen erien kautta arvostettavat rahoitusinstrumentit</w:t>
            </w:r>
          </w:p>
          <w:p w:rsidR="007C6C5F" w14:paraId="4D38478A" w14:textId="4C4F82B4">
            <w:pPr>
              <w:pStyle w:val="Bodytext2"/>
              <w:rPr>
                <w:color w:val="0F172B"/>
                <w:lang w:val="fi-FI"/>
              </w:rPr>
            </w:pPr>
            <w:r>
              <w:rPr>
                <w:color w:val="0F172B"/>
                <w:lang w:val="fi-FI"/>
              </w:rPr>
              <w:t>Käypään arvoon muiden laajan tuloks</w:t>
            </w:r>
            <w:r>
              <w:rPr>
                <w:color w:val="0F172B"/>
                <w:lang w:val="fi-FI"/>
              </w:rPr>
              <w:t>en erien kautta arvostettavat rahoitusvarat ja rahoitusvelat sisältävät suojauslaskennan ehdot täyttävien johdannaisten tehokkaan osuuden.</w:t>
            </w:r>
          </w:p>
          <w:p w:rsidR="007C6C5F" w:rsidRPr="007C6C5F" w14:paraId="031D5F0A" w14:textId="77777777">
            <w:pPr>
              <w:pStyle w:val="Bodytext2"/>
              <w:rPr>
                <w:rFonts w:eastAsiaTheme="minorEastAsia"/>
                <w:color w:val="0F172B"/>
                <w:lang w:val="fi-FI" w:eastAsia="fi-FI"/>
              </w:rPr>
            </w:pPr>
          </w:p>
          <w:p w:rsidR="007C6C5F" w14:paraId="18D3B74F" w14:textId="77777777">
            <w:pPr>
              <w:pStyle w:val="Bodytext2"/>
              <w:rPr>
                <w:color w:val="0F172B"/>
                <w:lang w:val="fi-FI"/>
              </w:rPr>
            </w:pPr>
            <w:r>
              <w:rPr>
                <w:color w:val="0F172B"/>
                <w:lang w:val="fi-FI"/>
              </w:rPr>
              <w:t>Tietoja johdannaisinstrumenttien arvostusryhmistä sekä suojauslaskennan alla olevista rahoitusinstrumenteista esitet</w:t>
            </w:r>
            <w:r>
              <w:rPr>
                <w:color w:val="0F172B"/>
                <w:lang w:val="fi-FI"/>
              </w:rPr>
              <w:t>ään liitetiedossa 5.7. Johdannaisinstrumentit</w:t>
            </w:r>
            <w:r>
              <w:rPr>
                <w:color w:val="0F172B"/>
              </w:rPr>
              <w:t>.</w:t>
            </w:r>
          </w:p>
        </w:tc>
      </w:tr>
    </w:tbl>
    <w:p w:rsidR="007C6C5F" w:rsidP="007C6C5F" w14:paraId="70CBEA1C" w14:textId="77777777">
      <w:pPr>
        <w:pStyle w:val="Bodytext2"/>
        <w:rPr>
          <w:color w:val="0F172B"/>
        </w:rPr>
      </w:pPr>
    </w:p>
    <w:p w:rsidR="007C6C5F" w:rsidP="007C6C5F" w14:paraId="59E125B0" w14:textId="77777777">
      <w:pPr>
        <w:pStyle w:val="Heading13"/>
      </w:pPr>
      <w:r>
        <w:t>2020</w:t>
      </w:r>
    </w:p>
    <w:p w:rsidR="007C6C5F" w:rsidP="007C6C5F" w14:paraId="2D6FB1F9" w14:textId="77777777">
      <w:pPr>
        <w:pStyle w:val="Bodytext2"/>
        <w:rPr>
          <w:color w:val="0F172B"/>
        </w:rPr>
      </w:pPr>
    </w:p>
    <w:tbl>
      <w:tblPr>
        <w:tblStyle w:val="TableNormal"/>
        <w:tblCaption w:val="table_52_measurement_category_cur"/>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Jaksotet-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tuun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menoon</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Käypään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tulosvaikut-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teisesti </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Käypään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laajan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tuloksen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kautta</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Tase-erien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arvot</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Käypä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rahoitusvarat</w:t>
            </w: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sijoitukset</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sijoitukset</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rahoitusvarat</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nil"/>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920</w:t>
            </w:r>
          </w:p>
        </w:tc>
        <w:tc>
          <w:tcPr>
            <w:tcW w:w="945"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920</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920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Myynnissä olevat myyntisaamiset</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rahoitussaamiset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652*</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265</w:t>
            </w: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919</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arvostusryhmittäin</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1 608</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302</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1 934</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1 934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rahoitusvelat</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1 129</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1 129</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1 139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rahoitusvelat</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198</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198</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411</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rahoitusvelat</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arvostusryhmittäin</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1 743</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1 770</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1 780</w:t>
            </w:r>
          </w:p>
        </w:tc>
      </w:tr>
    </w:tbl>
    <w:p w:rsidR="007C6C5F" w:rsidP="007C6C5F" w14:paraId="1B7743A0" w14:textId="77777777">
      <w:pPr>
        <w:pStyle w:val="Bodytext2"/>
        <w:rPr>
          <w:color w:val="0F172B"/>
        </w:rPr>
      </w:pPr>
    </w:p>
    <w:p w:rsidR="007C6C5F" w:rsidP="007C6C5F" w14:paraId="496A1CF4" w14:textId="77777777">
      <w:pPr>
        <w:pStyle w:val="Bodytext2"/>
        <w:rPr>
          <w:color w:val="0F172B"/>
          <w:lang w:val="fi-FI"/>
        </w:rPr>
      </w:pPr>
      <w:r>
        <w:rPr>
          <w:color w:val="0F172B"/>
          <w:lang w:val="fi-FI"/>
        </w:rPr>
        <w:t>* Lisäksi konsernilla on 14 milj. euroa rahavaroja arvostettuna jaksotettuun hankintamenoon liittyen myytävänä oleviin omaisuuseriin.</w:t>
      </w:r>
    </w:p>
    <w:p w:rsidR="007C6C5F" w:rsidP="007C6C5F" w14:paraId="06E58F97" w14:textId="77777777">
      <w:pPr>
        <w:pStyle w:val="Bodytext2"/>
        <w:rPr>
          <w:color w:val="0F172B"/>
          <w:lang w:val="fi-FI"/>
        </w:rPr>
      </w:pPr>
    </w:p>
    <w:p w:rsidR="007C6C5F" w:rsidP="007C6C5F" w14:paraId="2FC24A41" w14:textId="77777777">
      <w:pPr>
        <w:pStyle w:val="Heading13"/>
      </w:pPr>
      <w:r>
        <w:t>2019</w:t>
      </w:r>
    </w:p>
    <w:p w:rsidR="007C6C5F" w:rsidP="007C6C5F" w14:paraId="4BA77482" w14:textId="77777777">
      <w:pPr>
        <w:pStyle w:val="Bodytext2"/>
        <w:rPr>
          <w:color w:val="0F172B"/>
        </w:rPr>
      </w:pPr>
    </w:p>
    <w:tbl>
      <w:tblPr>
        <w:tblStyle w:val="TableNormal"/>
        <w:tblCaption w:val="table_52_measurement_category_pre"/>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Jaksotet-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tuun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menoon</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Käypään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tulosvaikut-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teisesti </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Käypään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laajan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tuloksen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kautta</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Tase-erien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arvot</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Käypä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rahoitusvarat</w:t>
            </w: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sijoitukset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sijoitukset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rahoitusvarat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1 232</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1 232</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1 232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Myynnissä olevat myyntisaamiset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rahoitussaamiset</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343*</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358</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arvostusryhmittäin</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1 600</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1 662</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1 662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rahoitusvelat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997</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997</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1 005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rahoitusvelat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624</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624</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rahoitusvelat</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arvostusryhmittäin</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1 724</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1 747</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1 756</w:t>
            </w:r>
          </w:p>
        </w:tc>
      </w:tr>
    </w:tbl>
    <w:p w:rsidR="007C6C5F" w:rsidP="007C6C5F" w14:paraId="5462402B" w14:textId="77777777">
      <w:pPr>
        <w:pStyle w:val="Bodytext2"/>
        <w:rPr>
          <w:color w:val="0F172B"/>
        </w:rPr>
      </w:pPr>
    </w:p>
    <w:p w:rsidR="007C6C5F" w:rsidP="007C6C5F" w14:paraId="58448D8F" w14:textId="77777777">
      <w:pPr>
        <w:pStyle w:val="Bodytext2"/>
        <w:rPr>
          <w:color w:val="0F172B"/>
          <w:lang w:val="fi-FI"/>
        </w:rPr>
      </w:pPr>
      <w:r>
        <w:rPr>
          <w:color w:val="0F172B"/>
          <w:lang w:val="fi-FI"/>
        </w:rPr>
        <w:t>* Lisäksi konsernilla on 11 milj. euroa rahavaroja arvostettuna jaksotettuun hankintamenoon liittyen myytävänä oleviin omaisuuseriin.</w:t>
      </w:r>
    </w:p>
    <w:p w:rsidR="007C6C5F" w:rsidP="007C6C5F" w14:paraId="58F77BEB" w14:textId="77777777">
      <w:pPr>
        <w:pStyle w:val="Bodytext2"/>
        <w:rPr>
          <w:color w:val="0F172B"/>
          <w:lang w:val="fi-FI"/>
        </w:rPr>
      </w:pPr>
    </w:p>
    <w:p w:rsidR="007C6C5F" w:rsidP="007C6C5F" w14:paraId="2959BF76" w14:textId="77777777">
      <w:pPr>
        <w:pStyle w:val="Heading13"/>
      </w:pPr>
      <w:r>
        <w:t>Käypien arvojen hierarkia</w:t>
      </w:r>
    </w:p>
    <w:tbl>
      <w:tblPr>
        <w:tblStyle w:val="TableGrid0"/>
        <w:tblW w:w="7371" w:type="dxa"/>
        <w:tblInd w:w="5" w:type="dxa"/>
        <w:tblLook w:val="04A0"/>
      </w:tblPr>
      <w:tblGrid>
        <w:gridCol w:w="7371"/>
      </w:tblGrid>
      <w:tr w14:paraId="497BE934" w14:textId="77777777" w:rsidTr="007C6C5F">
        <w:tblPrEx>
          <w:tblW w:w="7371" w:type="dxa"/>
          <w:tblInd w:w="5" w:type="dxa"/>
          <w:tblLook w:val="04A0"/>
        </w:tblPrEx>
        <w:tc>
          <w:tcPr>
            <w:tcW w:w="7371" w:type="dxa"/>
            <w:shd w:val="clear" w:color="auto" w:fill="B6C8D1"/>
          </w:tcPr>
          <w:p w:rsidR="00085206" w:rsidP="00085206" w14:paraId="41BD2600" w14:textId="77777777">
            <w:pPr>
              <w:pStyle w:val="Heading13"/>
            </w:pPr>
            <w:r>
              <w:t>Laadintaperiaatteet</w:t>
            </w:r>
          </w:p>
          <w:p w:rsidR="007C6C5F" w14:paraId="7312EA94" w14:textId="2EB71C15">
            <w:pPr>
              <w:pStyle w:val="Bodytext2"/>
              <w:rPr>
                <w:color w:val="0F172B"/>
              </w:rPr>
            </w:pPr>
            <w:r>
              <w:rPr>
                <w:color w:val="0F172B"/>
              </w:rPr>
              <w:t xml:space="preserve">Wärtsilä on luokitellut käyvän arvon </w:t>
            </w:r>
            <w:r>
              <w:rPr>
                <w:color w:val="0F172B"/>
              </w:rPr>
              <w:t>määrittämisessä käytettyjen arvostusmenetelmien syöttötiedot seuraaville kolmelle tasolle:</w:t>
            </w:r>
          </w:p>
          <w:p w:rsidR="007C6C5F" w14:paraId="37BE325E" w14:textId="77777777">
            <w:pPr>
              <w:pStyle w:val="Bodytext2"/>
              <w:rPr>
                <w:color w:val="0F172B"/>
              </w:rPr>
            </w:pPr>
          </w:p>
          <w:p w:rsidR="007C6C5F" w14:paraId="169F0AB4" w14:textId="77777777">
            <w:pPr>
              <w:pStyle w:val="Bodytext2"/>
              <w:rPr>
                <w:color w:val="0F172B"/>
              </w:rPr>
            </w:pPr>
            <w:r>
              <w:rPr>
                <w:color w:val="0F172B"/>
              </w:rPr>
              <w:t>Taso 1: Rahoitusinstrumenttien noteeratut hinnat ovat suoraan ja säännöllisesti havainnoitavissa julkisesti toimivilta markkinoilta tai muusta julkisesti saatavilla</w:t>
            </w:r>
            <w:r>
              <w:rPr>
                <w:color w:val="0F172B"/>
              </w:rPr>
              <w:t xml:space="preserve"> olevasta lähteestä.</w:t>
            </w:r>
          </w:p>
          <w:p w:rsidR="007C6C5F" w14:paraId="6E6A6AF6" w14:textId="77777777">
            <w:pPr>
              <w:pStyle w:val="Bodytext2"/>
              <w:rPr>
                <w:color w:val="0F172B"/>
              </w:rPr>
            </w:pPr>
          </w:p>
          <w:p w:rsidR="007C6C5F" w14:paraId="03965BD4" w14:textId="2278DBFE">
            <w:pPr>
              <w:pStyle w:val="Bodytext2"/>
              <w:rPr>
                <w:color w:val="0F172B"/>
              </w:rPr>
            </w:pPr>
            <w:r>
              <w:rPr>
                <w:color w:val="0F172B"/>
              </w:rPr>
              <w:t>Taso 2: Rahoitusinstrumenttien hinnat määritetään käyttämällä arvostusmenetelmää, jolle syöttötieto on suoraan tai epäsuorasti havainnoitavissa julkisilta arvopaperimarkkinoilta tai muusta julkisesti saatavilla olevasta lähteestä.</w:t>
            </w:r>
          </w:p>
          <w:p w:rsidR="007C6C5F" w14:paraId="3A4D7C41" w14:textId="77777777">
            <w:pPr>
              <w:pStyle w:val="Bodytext2"/>
              <w:rPr>
                <w:color w:val="0F172B"/>
              </w:rPr>
            </w:pPr>
          </w:p>
          <w:p w:rsidR="007C6C5F" w14:paraId="49A491D8" w14:textId="77777777">
            <w:pPr>
              <w:pStyle w:val="Bodytext2"/>
              <w:rPr>
                <w:color w:val="0F172B"/>
              </w:rPr>
            </w:pPr>
            <w:r>
              <w:rPr>
                <w:color w:val="0F172B"/>
              </w:rPr>
              <w:t>Taso 3: Rahoitusinstrumentit on luokiteltu tasolle 3, jos arvostusmenetelmän syöttötietojen hinnat eivät ole julkisesti havainnoitavissa ja kun rahoitusinstrumentit arvostetaan yhteisön omalla arvostusmenetelmällä.</w:t>
            </w:r>
          </w:p>
        </w:tc>
      </w:tr>
    </w:tbl>
    <w:p w:rsidR="007C6C5F" w:rsidRPr="00F807F2" w:rsidP="00A970B9" w14:paraId="31AE52A6" w14:textId="77777777">
      <w:pPr>
        <w:pStyle w:val="Bodytext2"/>
        <w:rPr>
          <w:lang w:val="fi-FI"/>
        </w:rPr>
      </w:pPr>
    </w:p>
    <w:p w:rsidR="007C6C5F" w:rsidRPr="00F807F2" w:rsidP="00A970B9" w14:paraId="07A56D38" w14:textId="77777777">
      <w:pPr>
        <w:pStyle w:val="Bodytext2"/>
        <w:rPr>
          <w:lang w:val="fi-FI"/>
        </w:rPr>
      </w:pPr>
      <w:r w:rsidRPr="00F807F2">
        <w:rPr>
          <w:lang w:val="fi-FI"/>
        </w:rPr>
        <w:t>Rahoitusinstrumenttien arvostamiseen kä</w:t>
      </w:r>
      <w:r w:rsidRPr="00F807F2">
        <w:rPr>
          <w:lang w:val="fi-FI"/>
        </w:rPr>
        <w:t>ytettävät arvostusmallit:</w:t>
      </w:r>
    </w:p>
    <w:p w:rsidR="007C6C5F" w:rsidRPr="00F807F2" w:rsidP="00A970B9" w14:paraId="705BB8AF" w14:textId="77777777">
      <w:pPr>
        <w:pStyle w:val="Bodytext2"/>
        <w:rPr>
          <w:lang w:val="fi-FI"/>
        </w:rPr>
      </w:pPr>
      <w:r w:rsidRPr="00F807F2">
        <w:rPr>
          <w:lang w:val="fi-FI"/>
        </w:rPr>
        <w:t>• valuuttatermiinisopimusten käyvän arvon määrittely tilinpäätöspäivän termiinikursseilla</w:t>
      </w:r>
    </w:p>
    <w:p w:rsidR="007C6C5F" w:rsidRPr="00F807F2" w:rsidP="00A970B9" w14:paraId="09C90C63" w14:textId="77777777">
      <w:pPr>
        <w:pStyle w:val="Bodytext2"/>
        <w:rPr>
          <w:lang w:val="fi-FI"/>
        </w:rPr>
      </w:pPr>
      <w:r w:rsidRPr="00F807F2">
        <w:rPr>
          <w:lang w:val="fi-FI"/>
        </w:rPr>
        <w:t>• koronvaihtosopimusten käypien arvojen laskeminen havainnoitavissa olevien tuottokäyrien perusteella arvioituihin tulevaisuuden rahavirtoje</w:t>
      </w:r>
      <w:r w:rsidRPr="00F807F2">
        <w:rPr>
          <w:lang w:val="fi-FI"/>
        </w:rPr>
        <w:t>n nykyarvoihin</w:t>
      </w:r>
    </w:p>
    <w:p w:rsidR="007C6C5F" w:rsidRPr="00F807F2" w:rsidP="00A970B9" w14:paraId="00ECDA5B" w14:textId="77777777">
      <w:pPr>
        <w:pStyle w:val="Bodytext2"/>
        <w:rPr>
          <w:lang w:val="fi-FI"/>
        </w:rPr>
      </w:pPr>
      <w:r w:rsidRPr="00F807F2">
        <w:rPr>
          <w:lang w:val="fi-FI"/>
        </w:rPr>
        <w:t>• noteerattujen markkinahintojen tai välittäjän samankaltaisille instrumenteille tarjoamien hintojen käyttäminen</w:t>
      </w:r>
    </w:p>
    <w:p w:rsidR="007C6C5F" w:rsidRPr="00F807F2" w:rsidP="00A970B9" w14:paraId="198184DE" w14:textId="77777777">
      <w:pPr>
        <w:pStyle w:val="Bodytext2"/>
        <w:rPr>
          <w:lang w:val="fi-FI"/>
        </w:rPr>
      </w:pPr>
    </w:p>
    <w:tbl>
      <w:tblPr>
        <w:tblStyle w:val="TableNormal"/>
        <w:tblCaption w:val="table_52_fair_value_hierarchy"/>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hRule="exact" w:val="240"/>
        </w:trPr>
        <w:tc>
          <w:tcPr>
            <w:tcW w:w="25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94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Taso 2</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Taso 3</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Taso 2</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Taso 3</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Rahoitusvarat</w:t>
            </w: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sijoitukset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sijoitukset, pitkäaikaiset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 pitkäaikaiset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Rahoitusvelat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10"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 pitkäaikaiset*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1 139</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1 005</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bl>
    <w:p w:rsidR="007C6C5F" w:rsidP="007C6C5F" w14:paraId="6E12AC4C" w14:textId="77777777">
      <w:pPr>
        <w:pStyle w:val="Bodytext2"/>
        <w:rPr>
          <w:color w:val="0F172B"/>
        </w:rPr>
      </w:pPr>
    </w:p>
    <w:p w:rsidR="007C6C5F" w:rsidP="007C6C5F" w14:paraId="5D68D07D" w14:textId="2F44E3DC">
      <w:pPr>
        <w:pStyle w:val="Bodytext2"/>
        <w:rPr>
          <w:color w:val="0F172B"/>
          <w:lang w:val="fi-FI"/>
        </w:rPr>
      </w:pPr>
      <w:r>
        <w:rPr>
          <w:color w:val="0F172B"/>
          <w:lang w:val="fi-FI"/>
        </w:rPr>
        <w:t>* Arvostettu jaksotettuun hankintamenoon taseessa.</w:t>
      </w:r>
    </w:p>
    <w:p w:rsidR="007C6C5F" w:rsidP="007C6C5F" w14:paraId="19132ACC" w14:textId="77777777">
      <w:pPr>
        <w:pStyle w:val="Bodytext2"/>
        <w:rPr>
          <w:color w:val="0F172B"/>
          <w:lang w:val="fi-FI"/>
        </w:rPr>
      </w:pPr>
    </w:p>
    <w:p w:rsidR="007C6C5F" w:rsidP="007C6C5F" w14:paraId="0F5D905B" w14:textId="77777777">
      <w:pPr>
        <w:pStyle w:val="Bodytext2"/>
        <w:rPr>
          <w:color w:val="0F172B"/>
          <w:lang w:val="fi-FI"/>
        </w:rPr>
      </w:pPr>
      <w:r>
        <w:rPr>
          <w:color w:val="0F172B"/>
          <w:lang w:val="fi-FI"/>
        </w:rPr>
        <w:t xml:space="preserve">Lisätietoja </w:t>
      </w:r>
      <w:r>
        <w:rPr>
          <w:color w:val="0F172B"/>
          <w:lang w:val="fi-FI"/>
        </w:rPr>
        <w:t>rahoitusveloista esitetään liitetiedossa 5.6. Rahoitusvelkojen maturiteettianalyysi.</w:t>
      </w:r>
    </w:p>
    <w:p w:rsidR="007C6C5F" w:rsidP="007C6C5F" w14:paraId="1377A809" w14:textId="77777777">
      <w:pPr>
        <w:pStyle w:val="Bodytext2"/>
        <w:rPr>
          <w:color w:val="0F172B"/>
          <w:lang w:val="fi-FI"/>
        </w:rPr>
      </w:pPr>
    </w:p>
    <w:p w:rsidR="007C6C5F" w:rsidP="007C6C5F" w14:paraId="707624DA" w14:textId="77777777">
      <w:pPr>
        <w:pStyle w:val="Heading13"/>
        <w:rPr>
          <w:lang w:val="fi-FI"/>
        </w:rPr>
      </w:pPr>
      <w:r>
        <w:rPr>
          <w:lang w:val="fi-FI"/>
        </w:rPr>
        <w:t>Muut sijoitukset</w:t>
      </w:r>
    </w:p>
    <w:p w:rsidR="007C6C5F" w:rsidRPr="00F807F2" w:rsidP="00A970B9" w14:paraId="7F70B940" w14:textId="77777777">
      <w:pPr>
        <w:pStyle w:val="Bodytext2"/>
        <w:rPr>
          <w:lang w:val="fi-FI"/>
        </w:rPr>
      </w:pPr>
      <w:r w:rsidRPr="00F807F2">
        <w:rPr>
          <w:lang w:val="fi-FI"/>
        </w:rPr>
        <w:t>Muut sijoitukset sisältävät käypään arvoon arvostettuja noteeraamattomia osakkeita. Näitä sijoituksia tarkastellaan DCF-mallien avulla, joissa kriittiset</w:t>
      </w:r>
      <w:r w:rsidRPr="00F807F2">
        <w:rPr>
          <w:lang w:val="fi-FI"/>
        </w:rPr>
        <w:t xml:space="preserve"> oletukset liittyvät WACC:in tasoon ja odotettuihin rahavirtoihin osingoista. Eri skenaarioilla saadaan kuitenkin niin erilaisia tuloksia, että johdon arvioiden mukaan jaksotettuun hankintamenoon arvostaminen on lähinnä käypää arvoa.</w:t>
      </w:r>
    </w:p>
    <w:p w:rsidR="007C6C5F" w:rsidRPr="00F807F2" w:rsidP="00A970B9" w14:paraId="227FC869" w14:textId="77777777">
      <w:pPr>
        <w:pStyle w:val="Bodytext2"/>
        <w:rPr>
          <w:lang w:val="fi-FI"/>
        </w:rPr>
      </w:pPr>
    </w:p>
    <w:tbl>
      <w:tblPr>
        <w:tblStyle w:val="TableNormal"/>
        <w:tblCaption w:val="table_52_other_investments"/>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hRule="exac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Kirjanpitoarvo 1.1.</w:t>
            </w: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Osakkeiden hankinnat</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400" w:type="dxa"/>
            <w:gridSpan w:val="4"/>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bl>
    <w:p w:rsidR="007C6C5F" w:rsidP="007C6C5F" w14:paraId="51D241BA" w14:textId="77777777">
      <w:pPr>
        <w:pStyle w:val="Bodytext2"/>
        <w:rPr>
          <w:color w:val="0F172B"/>
          <w:lang w:val="fi-FI"/>
        </w:rPr>
      </w:pPr>
    </w:p>
    <w:p w:rsidR="007C6C5F" w:rsidRPr="00D317A0" w:rsidP="007C6C5F" w14:paraId="0A3058D0" w14:textId="3ED45ED0">
      <w:pPr>
        <w:pStyle w:val="Bodytext2"/>
        <w:rPr>
          <w:sz w:val="2"/>
          <w:szCs w:val="2"/>
          <w:lang w:val="fi-FI"/>
        </w:rPr>
      </w:pPr>
      <w:r>
        <w:rPr>
          <w:lang w:val="fi-FI"/>
        </w:rPr>
        <w:t>Vuonna 2020 noteeraamattomien muiden osakkeiden (taso 3) hankintameno oli 19 milj. euroa (18), ja niiden markkina-arvo oli 19 milj. euroa (18).</w:t>
      </w:r>
      <w:r>
        <w:rPr>
          <w:lang w:val="fi-FI"/>
        </w:rPr>
        <w:br w:type="column"/>
      </w:r>
    </w:p>
    <w:p w:rsidR="00397641" w:rsidP="00397641" w14:paraId="280D61DE" w14:textId="66C010B0">
      <w:pPr>
        <w:pStyle w:val="Heading12"/>
      </w:pPr>
      <w:bookmarkStart w:id="1148" w:name="RG_MARKER_4715"/>
      <w:r>
        <w:t>5.3. RAHAVARAT</w:t>
      </w:r>
      <w:bookmarkEnd w:id="1148"/>
    </w:p>
    <w:tbl>
      <w:tblPr>
        <w:tblStyle w:val="TableGrid"/>
        <w:tblW w:w="7371" w:type="dxa"/>
        <w:tblLook w:val="04A0"/>
      </w:tblPr>
      <w:tblGrid>
        <w:gridCol w:w="7371"/>
      </w:tblGrid>
      <w:tr w14:paraId="2130E9EB" w14:textId="77777777" w:rsidTr="00397641">
        <w:tblPrEx>
          <w:tblW w:w="7371" w:type="dxa"/>
          <w:tblLook w:val="04A0"/>
        </w:tblPrEx>
        <w:tc>
          <w:tcPr>
            <w:tcW w:w="7371" w:type="dxa"/>
            <w:tcBorders>
              <w:top w:val="nil"/>
              <w:left w:val="nil"/>
              <w:bottom w:val="nil"/>
              <w:right w:val="nil"/>
            </w:tcBorders>
            <w:shd w:val="clear" w:color="auto" w:fill="B6C8D1"/>
            <w:hideMark/>
          </w:tcPr>
          <w:p w:rsidR="00397641" w:rsidRPr="004B34D5" w14:paraId="2470490F" w14:textId="313779FA">
            <w:pPr>
              <w:pStyle w:val="Heading13"/>
              <w:rPr>
                <w:rFonts w:eastAsiaTheme="minorEastAsia" w:cstheme="minorHAnsi"/>
                <w:lang w:val="fi-FI" w:eastAsia="fi-FI"/>
              </w:rPr>
            </w:pPr>
            <w:r w:rsidRPr="004B34D5">
              <w:rPr>
                <w:rFonts w:eastAsiaTheme="minorEastAsia"/>
                <w:lang w:val="fi-FI" w:eastAsia="fi-FI"/>
              </w:rPr>
              <w:t>Laadintaperiaatteet</w:t>
            </w:r>
          </w:p>
          <w:p w:rsidR="00397641" w:rsidP="00397641" w14:paraId="02AF7BE6" w14:textId="0F7E5A46">
            <w:pPr>
              <w:pStyle w:val="Bodytext2"/>
              <w:rPr>
                <w:rFonts w:eastAsiaTheme="minorEastAsia"/>
                <w:lang w:val="en-GB" w:eastAsia="fi-FI"/>
              </w:rPr>
            </w:pPr>
            <w:r w:rsidRPr="00397641">
              <w:rPr>
                <w:rFonts w:eastAsiaTheme="minorEastAsia"/>
                <w:lang w:val="fi-FI" w:eastAsia="fi-FI"/>
              </w:rPr>
              <w:t xml:space="preserve">Rahavarat koostuvat käteisvaroista, vaadittaessa nostettavissa olevista pankkitalletuksista sekä muista lyhytaikaisista rahavaroista. Muut lyhytaikaiset rahavarat ovat lyhytaikaisia likvidejä sijoituksia, joiden arvo </w:t>
            </w:r>
            <w:r w:rsidRPr="00397641">
              <w:rPr>
                <w:rFonts w:eastAsiaTheme="minorEastAsia"/>
                <w:lang w:val="fi-FI" w:eastAsia="fi-FI"/>
              </w:rPr>
              <w:t>vaihtelee vähäisessä määrin ja joiden maturiteetti on korkeintaan kolme kuukautta hankintahetkestä. Käteisvarat ja vaadittaessa nostettavissa olevat pankkitalletukset on arvostettu jaksotettuun hankintamenoon. Muut käteissijoitukset arvostetaan pääsääntöis</w:t>
            </w:r>
            <w:r w:rsidRPr="00397641">
              <w:rPr>
                <w:rFonts w:eastAsiaTheme="minorEastAsia"/>
                <w:lang w:val="fi-FI" w:eastAsia="fi-FI"/>
              </w:rPr>
              <w:t xml:space="preserve">esti käypään arvoon lukuun ottamatta sijoituksia yritystodistuksiin, jotka arvostetaan jaksotettuun hankintamenoon. </w:t>
            </w:r>
            <w:r w:rsidRPr="00397641">
              <w:rPr>
                <w:rFonts w:eastAsiaTheme="minorEastAsia"/>
                <w:lang w:val="en-GB" w:eastAsia="fi-FI"/>
              </w:rPr>
              <w:t>Konsernin cash pool -tileihin liittyvät luotot sisältyvät lyhytaikaisiin rahoitusvelkoihin.</w:t>
            </w:r>
          </w:p>
        </w:tc>
      </w:tr>
    </w:tbl>
    <w:p w:rsidR="00397641" w:rsidP="00397641" w14:paraId="6C8A9B29" w14:textId="77777777">
      <w:pPr>
        <w:pStyle w:val="Bodytext2"/>
        <w:rPr>
          <w:lang w:val="en-GB"/>
        </w:rPr>
      </w:pPr>
    </w:p>
    <w:tbl>
      <w:tblPr>
        <w:tblStyle w:val="TableNormal"/>
        <w:tblCaption w:val="table_53"/>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Rahat ja pankkisaamiset*</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628</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rahavarat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290</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919</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358</w:t>
            </w:r>
          </w:p>
        </w:tc>
      </w:tr>
    </w:tbl>
    <w:p w:rsidR="00397641" w:rsidP="00397641" w14:paraId="03C35D6F" w14:textId="78E427F0">
      <w:pPr>
        <w:pStyle w:val="Bodytext2"/>
      </w:pPr>
    </w:p>
    <w:p w:rsidR="00397641" w:rsidRPr="00397641" w:rsidP="00397641" w14:paraId="7A05AED6" w14:textId="79E5A5A2">
      <w:pPr>
        <w:pStyle w:val="Bodytext2"/>
        <w:rPr>
          <w:lang w:val="fi-FI"/>
        </w:rPr>
      </w:pPr>
      <w:r w:rsidRPr="00397641">
        <w:rPr>
          <w:lang w:val="fi-FI"/>
        </w:rPr>
        <w:t xml:space="preserve">* </w:t>
      </w:r>
      <w:r>
        <w:rPr>
          <w:lang w:val="fi-FI"/>
        </w:rPr>
        <w:t>175</w:t>
      </w:r>
      <w:r w:rsidRPr="00397641">
        <w:rPr>
          <w:lang w:val="fi-FI"/>
        </w:rPr>
        <w:t xml:space="preserve"> milj. euroa (1</w:t>
      </w:r>
      <w:r>
        <w:rPr>
          <w:lang w:val="fi-FI"/>
        </w:rPr>
        <w:t>71</w:t>
      </w:r>
      <w:r w:rsidRPr="00397641">
        <w:rPr>
          <w:lang w:val="fi-FI"/>
        </w:rPr>
        <w:t>) rahoist</w:t>
      </w:r>
      <w:r w:rsidRPr="00397641">
        <w:rPr>
          <w:lang w:val="fi-FI"/>
        </w:rPr>
        <w:t>a ja pankkisaamisista on maissa, joissa kotiuttamista on rajoitettu paikallisella lainsäädännöllä, eikä raha näin ollen ollut välittömästi emoyhtiön käytettävissä.</w:t>
      </w:r>
    </w:p>
    <w:p w:rsidR="00397641" w:rsidRPr="00397641" w:rsidP="00397641" w14:paraId="47115129" w14:textId="0904E05C">
      <w:pPr>
        <w:pStyle w:val="Bodytext2"/>
        <w:rPr>
          <w:lang w:val="fi-FI"/>
        </w:rPr>
      </w:pPr>
    </w:p>
    <w:p w:rsidR="00397641" w:rsidRPr="00397641" w:rsidP="00397641" w14:paraId="20FDF9CC" w14:textId="470EFC0F">
      <w:pPr>
        <w:pStyle w:val="Bodytext2"/>
        <w:rPr>
          <w:lang w:val="fi-FI"/>
        </w:rPr>
      </w:pPr>
      <w:r w:rsidRPr="00397641">
        <w:rPr>
          <w:lang w:val="fi-FI"/>
        </w:rPr>
        <w:t xml:space="preserve">Lisäksi konsernilla on </w:t>
      </w:r>
      <w:r>
        <w:rPr>
          <w:lang w:val="fi-FI"/>
        </w:rPr>
        <w:t>14</w:t>
      </w:r>
      <w:r w:rsidRPr="00397641">
        <w:rPr>
          <w:lang w:val="fi-FI"/>
        </w:rPr>
        <w:t xml:space="preserve"> milj. euroa</w:t>
      </w:r>
      <w:r>
        <w:rPr>
          <w:lang w:val="fi-FI"/>
        </w:rPr>
        <w:t xml:space="preserve"> (11)</w:t>
      </w:r>
      <w:r w:rsidRPr="00397641">
        <w:rPr>
          <w:lang w:val="fi-FI"/>
        </w:rPr>
        <w:t xml:space="preserve"> rahavaroja liittyen myytävänä oleviin omaisuuser</w:t>
      </w:r>
      <w:r w:rsidRPr="00397641">
        <w:rPr>
          <w:lang w:val="fi-FI"/>
        </w:rPr>
        <w:t>iin.</w:t>
      </w:r>
    </w:p>
    <w:p/>
    <w:p w:rsidR="00C0585E" w:rsidRPr="006F0C4E" w:rsidP="00C0585E" w14:paraId="6DD16B79" w14:textId="7CB4315F">
      <w:pPr>
        <w:pStyle w:val="Heading12"/>
        <w:rPr>
          <w:lang w:val="fi-FI"/>
        </w:rPr>
      </w:pPr>
      <w:bookmarkStart w:id="1149" w:name="RG_MARKER_4714"/>
      <w:r w:rsidRPr="006F0C4E">
        <w:rPr>
          <w:lang w:val="fi-FI"/>
        </w:rPr>
        <w:t>5.4. NETTOVELAN TÄSMÄYTYS</w:t>
      </w:r>
      <w:bookmarkEnd w:id="1149"/>
    </w:p>
    <w:p w:rsidR="00C0585E" w:rsidRPr="006F0C4E" w:rsidP="00C0585E" w14:paraId="1614E6A3" w14:textId="5957780D">
      <w:pPr>
        <w:pStyle w:val="Heading13"/>
        <w:rPr>
          <w:lang w:val="fi-FI"/>
        </w:rPr>
      </w:pPr>
      <w:r w:rsidRPr="006F0C4E">
        <w:rPr>
          <w:lang w:val="fi-FI"/>
        </w:rPr>
        <w:t>Korolliset nettovelat</w:t>
      </w:r>
    </w:p>
    <w:p w:rsidR="00C0585E" w:rsidRPr="006F0C4E" w:rsidP="00C0585E" w14:paraId="3AE0C16C" w14:textId="77777777">
      <w:pPr>
        <w:pStyle w:val="Bodytext2"/>
        <w:rPr>
          <w:lang w:val="fi-FI"/>
        </w:rPr>
      </w:pPr>
    </w:p>
    <w:tbl>
      <w:tblPr>
        <w:tblStyle w:val="TableNormal"/>
        <w:tblCaption w:val="table_54_net_ib_debt"/>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hRule="exac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87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 korolliset velat</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1 005</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 vuokrasopimusvelat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 korolliset velat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156</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 vuokrasopimusvelat</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Korolliset velat yhteensä</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1 327</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1 096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saamiset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Myytävänä oleviin omaisuuseriin liittyvät rahavarat</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Korolliset saamiset yhteensä</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-933</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5610" w:type="dxa"/>
            <w:gridSpan w:val="5"/>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Korolliset nettovelat yhteensä</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394</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726</w:t>
            </w:r>
          </w:p>
        </w:tc>
      </w:tr>
    </w:tbl>
    <w:p w:rsidR="00C0585E" w:rsidRPr="006F0C4E" w:rsidP="00C0585E" w14:paraId="5B692DA4" w14:textId="2E274721">
      <w:pPr>
        <w:pStyle w:val="Bodytext2"/>
        <w:rPr>
          <w:sz w:val="2"/>
          <w:szCs w:val="2"/>
          <w:lang w:val="fi-FI"/>
        </w:rPr>
      </w:pPr>
      <w:r>
        <w:rPr>
          <w:lang w:val="fi-FI"/>
        </w:rPr>
        <w:br w:type="column"/>
      </w:r>
    </w:p>
    <w:p w:rsidR="00C0585E" w:rsidP="00C0585E" w14:paraId="05743FC1" w14:textId="7560C8FA">
      <w:pPr>
        <w:pStyle w:val="Heading13"/>
      </w:pPr>
      <w:r>
        <w:t>Nettovelan täsmäytys</w:t>
      </w:r>
    </w:p>
    <w:p w:rsidR="00C0585E" w:rsidP="00C0585E" w14:paraId="57BE7699" w14:textId="77777777">
      <w:pPr>
        <w:pStyle w:val="Bodytext2"/>
      </w:pPr>
    </w:p>
    <w:p w:rsidR="00C0585E" w:rsidP="00C0585E" w14:paraId="40D8C138" w14:textId="77777777">
      <w:pPr>
        <w:pStyle w:val="Heading13"/>
      </w:pPr>
      <w:r>
        <w:t>2020</w:t>
      </w:r>
    </w:p>
    <w:tbl>
      <w:tblPr>
        <w:tblStyle w:val="TableNormal"/>
        <w:tblCaption w:val="table_54_net_debt_recon_cur"/>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1.1.2020</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virrat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kurssimuu-</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tokset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 muutokset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Yritys-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hankinnat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 yritys-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myynnit</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 korolliset velat</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851</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155</w:t>
            </w: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1 005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 korolliset velat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Vuokrasopimusvelat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188</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saamiset</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-369</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-601</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Nettovelka</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726</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-374</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394</w:t>
            </w:r>
          </w:p>
        </w:tc>
      </w:tr>
    </w:tbl>
    <w:p w:rsidR="00C0585E" w:rsidP="00C0585E" w14:paraId="09AEA01C" w14:textId="77777777">
      <w:pPr>
        <w:pStyle w:val="Bodytext2"/>
      </w:pPr>
    </w:p>
    <w:p w:rsidR="00C0585E" w:rsidRPr="00C0585E" w:rsidP="00C0585E" w14:paraId="0B4111F0" w14:textId="11FEB753">
      <w:pPr>
        <w:pStyle w:val="Bodytext2"/>
        <w:rPr>
          <w:lang w:val="fi-FI"/>
        </w:rPr>
      </w:pPr>
      <w:r w:rsidRPr="00C0585E">
        <w:rPr>
          <w:lang w:val="fi-FI"/>
        </w:rPr>
        <w:t>* Sisältää myytävänä oleviin omaisuuseriin liittyvät rahavarat.</w:t>
      </w:r>
    </w:p>
    <w:p w:rsidR="00C0585E" w:rsidRPr="00C0585E" w:rsidP="00C0585E" w14:paraId="5A59EDC4" w14:textId="77777777">
      <w:pPr>
        <w:pStyle w:val="Bodytext2"/>
        <w:rPr>
          <w:lang w:val="fi-FI"/>
        </w:rPr>
      </w:pPr>
    </w:p>
    <w:p w:rsidR="00C0585E" w:rsidP="00C0585E" w14:paraId="47036047" w14:textId="77777777">
      <w:pPr>
        <w:pStyle w:val="Heading13"/>
      </w:pPr>
      <w:r>
        <w:t>2019</w:t>
      </w:r>
    </w:p>
    <w:tbl>
      <w:tblPr>
        <w:tblStyle w:val="TableNormal"/>
        <w:tblCaption w:val="table_54_net_debt_recon_pre"/>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1.1.2019</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virrat</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kurssimuu-</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tokset</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 muutokset</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 korolliset velat</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746</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 korolliset velat</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Vuokrasopimusvelat</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215</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saamiset</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-487</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119</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Nettovelka</w:t>
            </w:r>
          </w:p>
        </w:tc>
        <w:tc>
          <w:tcPr>
            <w:tcW w:w="87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545</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162</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726</w:t>
            </w:r>
          </w:p>
        </w:tc>
      </w:tr>
    </w:tbl>
    <w:p w:rsidR="00C0585E" w:rsidP="00C0585E" w14:paraId="5079ADBC" w14:textId="77777777">
      <w:pPr>
        <w:pStyle w:val="Bodytext2"/>
      </w:pPr>
    </w:p>
    <w:p w:rsidR="004A0DF2" w:rsidRPr="00C0585E" w:rsidP="00C0585E" w14:textId="2D474B55">
      <w:pPr>
        <w:pStyle w:val="Bodytext2"/>
        <w:rPr>
          <w:lang w:val="fi-FI"/>
        </w:rPr>
      </w:pPr>
      <w:r w:rsidRPr="00C0585E">
        <w:rPr>
          <w:lang w:val="fi-FI"/>
        </w:rPr>
        <w:t>* Sisältää myytävänä oleviin omaisuuseriin liittyvät rahavarat.</w:t>
      </w:r>
    </w:p>
    <w:p/>
    <w:p w:rsidR="00FA1706" w:rsidRPr="00FA1706" w:rsidP="00FA1706" w14:paraId="199C71DA" w14:textId="10504D3B">
      <w:pPr>
        <w:pStyle w:val="Heading12"/>
        <w:rPr>
          <w:lang w:val="fi-FI"/>
        </w:rPr>
      </w:pPr>
      <w:bookmarkStart w:id="1150" w:name="RG_MARKER_4713"/>
      <w:r w:rsidRPr="00FA1706">
        <w:rPr>
          <w:lang w:val="fi-FI"/>
        </w:rPr>
        <w:t>5.5. OMA PÄÄOMA</w:t>
      </w:r>
      <w:bookmarkEnd w:id="1150"/>
    </w:p>
    <w:p w:rsidR="00FA1706" w:rsidRPr="00542575" w:rsidP="00FA1706" w14:paraId="341B0E23" w14:textId="5F9D9ADE">
      <w:pPr>
        <w:pStyle w:val="Bodytext2"/>
        <w:rPr>
          <w:sz w:val="2"/>
          <w:szCs w:val="2"/>
          <w:lang w:val="fi-FI"/>
        </w:rPr>
      </w:pPr>
      <w:r w:rsidRPr="00FA1706">
        <w:rPr>
          <w:lang w:val="fi-FI"/>
        </w:rPr>
        <w:t>Oma pääoma koostuu osakepääomasta, ylikurssirahastosta, muuntoeroista, arvonmuutosrahastosta, etuuspohjaisen nettovelan uudelleenmäärittämisestä johtuvista eristä ja kertyneistä voittovaroista.</w:t>
      </w:r>
      <w:r>
        <w:rPr>
          <w:lang w:val="fi-FI"/>
        </w:rPr>
        <w:br w:type="column"/>
      </w:r>
    </w:p>
    <w:p w:rsidR="00FA1706" w:rsidRPr="007B07F5" w:rsidP="00FA1706" w14:paraId="7984E69F" w14:textId="352BEB51">
      <w:pPr>
        <w:pStyle w:val="Heading13"/>
        <w:rPr>
          <w:lang w:val="fi-FI"/>
        </w:rPr>
      </w:pPr>
      <w:r w:rsidRPr="007B07F5">
        <w:rPr>
          <w:lang w:val="fi-FI"/>
        </w:rPr>
        <w:t>Osakepääoma ja osakkeiden lukumäärä</w:t>
      </w:r>
    </w:p>
    <w:p w:rsidR="00FA1706" w:rsidRPr="003A7F3F" w:rsidP="00542575" w14:paraId="70EF427D" w14:textId="77777777">
      <w:pPr>
        <w:pStyle w:val="Bodytext2"/>
        <w:rPr>
          <w:lang w:val="fi-FI"/>
        </w:rPr>
      </w:pPr>
    </w:p>
    <w:tbl>
      <w:tblPr>
        <w:tblStyle w:val="TableNormal"/>
        <w:tblCaption w:val="table_55_share_capital"/>
        <w:tblW w:w="7305" w:type="dxa"/>
        <w:tblLayout w:type="fixed"/>
        <w:tblLook w:val="0600"/>
      </w:tblPr>
      <w:tblGrid>
        <w:gridCol w:w="3525"/>
        <w:gridCol w:w="945"/>
        <w:gridCol w:w="945"/>
        <w:gridCol w:w="945"/>
        <w:gridCol w:w="945"/>
      </w:tblGrid>
      <w:tr>
        <w:tblPrEx>
          <w:tblW w:w="7305" w:type="dxa"/>
          <w:tblLayout w:type="fixed"/>
          <w:tblLook w:val="0600"/>
        </w:tblPrEx>
        <w:trPr>
          <w:trHeight w:val="300"/>
        </w:trPr>
        <w:tc>
          <w:tcPr>
            <w:tcW w:w="35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Osakepääoma</w:t>
            </w:r>
          </w:p>
        </w:tc>
        <w:tc>
          <w:tcPr>
            <w:tcW w:w="94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Osakkeiden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 äänien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lukumäärä</w:t>
            </w:r>
          </w:p>
        </w:tc>
        <w:tc>
          <w:tcPr>
            <w:tcW w:w="94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Osake-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pääoma</w:t>
            </w:r>
          </w:p>
        </w:tc>
        <w:tc>
          <w:tcPr>
            <w:tcW w:w="94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Ylikurssi-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rahasto</w:t>
            </w:r>
          </w:p>
        </w:tc>
        <w:tc>
          <w:tcPr>
            <w:tcW w:w="94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Yhteensä </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1.1.2019</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591 723 390</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397</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2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31.12.2019</w:t>
            </w:r>
          </w:p>
        </w:tc>
        <w:tc>
          <w:tcPr>
            <w:tcW w:w="94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591 723 390</w:t>
            </w:r>
          </w:p>
        </w:tc>
        <w:tc>
          <w:tcPr>
            <w:tcW w:w="94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c>
          <w:tcPr>
            <w:tcW w:w="94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94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397</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2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591 723 390</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397</w:t>
            </w:r>
          </w:p>
        </w:tc>
      </w:tr>
    </w:tbl>
    <w:p w:rsidR="00FA1706" w:rsidRPr="007B07F5" w:rsidP="00FA1706" w14:paraId="0DC0ACDD" w14:textId="77777777">
      <w:pPr>
        <w:pStyle w:val="Bodytext2"/>
        <w:rPr>
          <w:lang w:val="fi-FI"/>
        </w:rPr>
      </w:pPr>
    </w:p>
    <w:p w:rsidR="00FA1706" w:rsidRPr="00FA1706" w:rsidP="00FA1706" w14:paraId="7E6A1B13" w14:textId="77777777">
      <w:pPr>
        <w:pStyle w:val="Bodytext2"/>
        <w:rPr>
          <w:lang w:val="fi-FI"/>
        </w:rPr>
      </w:pPr>
      <w:r w:rsidRPr="00FA1706">
        <w:rPr>
          <w:lang w:val="fi-FI"/>
        </w:rPr>
        <w:t>Wärtsilän osakkeella ei ole nimellisarvoa. Wärtsilällä on yksi osakelaji. Kaikilla osakkeilla on yksi ääni yhtiökokouksessa ja niillä on yhtälainen oikeus osingonjakoon.</w:t>
      </w:r>
    </w:p>
    <w:p w:rsidR="00FA1706" w:rsidP="00FA1706" w14:paraId="234A84FB" w14:textId="77777777">
      <w:pPr>
        <w:pStyle w:val="Bodytext2"/>
        <w:rPr>
          <w:lang w:val="fi-FI"/>
        </w:rPr>
      </w:pPr>
    </w:p>
    <w:p w:rsidR="00FA1706" w:rsidRPr="00FA1706" w:rsidP="00FA1706" w14:paraId="07EA92AD" w14:textId="0F5AA3CC">
      <w:pPr>
        <w:pStyle w:val="Heading13"/>
        <w:rPr>
          <w:lang w:val="fi-FI"/>
        </w:rPr>
      </w:pPr>
      <w:r w:rsidRPr="00FA1706">
        <w:rPr>
          <w:lang w:val="fi-FI"/>
        </w:rPr>
        <w:t>Osakepääoma</w:t>
      </w:r>
    </w:p>
    <w:p w:rsidR="00FA1706" w:rsidRPr="00FA1706" w:rsidP="00FA1706" w14:paraId="09A3C3A0" w14:textId="77777777">
      <w:pPr>
        <w:pStyle w:val="Bodytext2"/>
        <w:rPr>
          <w:lang w:val="fi-FI"/>
        </w:rPr>
      </w:pPr>
      <w:r w:rsidRPr="00FA1706">
        <w:rPr>
          <w:lang w:val="fi-FI"/>
        </w:rPr>
        <w:t>Osakeannin yhteydessä yhtiön saamat osakkeen</w:t>
      </w:r>
      <w:r w:rsidRPr="00FA1706">
        <w:rPr>
          <w:lang w:val="fi-FI"/>
        </w:rPr>
        <w:t xml:space="preserve"> merkintähinnat kirjataan osakepääomaan, ellei osakeantipäätöksen yhteydessä olla päätetty, että osa merkintähinnasta kirjataan sijoitetun vapaan oman pääoman rahastoon.</w:t>
      </w:r>
    </w:p>
    <w:p w:rsidR="00FA1706" w:rsidRPr="00FA1706" w:rsidP="00FA1706" w14:paraId="6A948DD1" w14:textId="64327B06">
      <w:pPr>
        <w:pStyle w:val="Bodytext2"/>
        <w:rPr>
          <w:lang w:val="fi-FI"/>
        </w:rPr>
      </w:pPr>
    </w:p>
    <w:p w:rsidR="00FA1706" w:rsidRPr="00FA1706" w:rsidP="00FA1706" w14:paraId="601169B5" w14:textId="77777777">
      <w:pPr>
        <w:pStyle w:val="Heading13"/>
        <w:rPr>
          <w:lang w:val="fi-FI"/>
        </w:rPr>
      </w:pPr>
      <w:r w:rsidRPr="00FA1706">
        <w:rPr>
          <w:lang w:val="fi-FI"/>
        </w:rPr>
        <w:t>Ylikurssirahasto</w:t>
      </w:r>
    </w:p>
    <w:p w:rsidR="00FA1706" w:rsidRPr="00FA1706" w:rsidP="00FA1706" w14:paraId="0B44AB8D" w14:textId="77777777">
      <w:pPr>
        <w:pStyle w:val="Bodytext2"/>
        <w:rPr>
          <w:lang w:val="fi-FI"/>
        </w:rPr>
      </w:pPr>
      <w:r w:rsidRPr="00FA1706">
        <w:rPr>
          <w:lang w:val="fi-FI"/>
        </w:rPr>
        <w:t>Ylikurssirahasto on sidottua omaa pääomaa. Sitä voidaan alentaa noud</w:t>
      </w:r>
      <w:r w:rsidRPr="00FA1706">
        <w:rPr>
          <w:lang w:val="fi-FI"/>
        </w:rPr>
        <w:t>attaen, mitä osakepääoman alentamisesta säädetään osakeyhtiölaissa. Osakepääomaa voidaan myös korottaa siirtämällä varoja ylikurssirahastosta.</w:t>
      </w:r>
    </w:p>
    <w:p w:rsidR="00FA1706" w:rsidRPr="00FA1706" w:rsidP="00FA1706" w14:paraId="647600CF" w14:textId="3B650D52">
      <w:pPr>
        <w:pStyle w:val="Bodytext2"/>
        <w:rPr>
          <w:lang w:val="fi-FI"/>
        </w:rPr>
      </w:pPr>
    </w:p>
    <w:p w:rsidR="00FA1706" w:rsidRPr="00FA1706" w:rsidP="00FA1706" w14:paraId="1E09F512" w14:textId="77777777">
      <w:pPr>
        <w:pStyle w:val="Heading13"/>
        <w:rPr>
          <w:lang w:val="fi-FI"/>
        </w:rPr>
      </w:pPr>
      <w:r w:rsidRPr="00FA1706">
        <w:rPr>
          <w:lang w:val="fi-FI"/>
        </w:rPr>
        <w:t>Muuntoerot</w:t>
      </w:r>
    </w:p>
    <w:p w:rsidR="00FA1706" w:rsidRPr="00FA1706" w:rsidP="00FA1706" w14:paraId="7492A994" w14:textId="77777777">
      <w:pPr>
        <w:pStyle w:val="Bodytext2"/>
        <w:rPr>
          <w:lang w:val="fi-FI"/>
        </w:rPr>
      </w:pPr>
      <w:r w:rsidRPr="00FA1706">
        <w:rPr>
          <w:lang w:val="fi-FI"/>
        </w:rPr>
        <w:t>Ulkomaisten tytäryhtiöiden tilinpäätösten muuntaminen eri kursseilla laajassa tuloslaskelmassa ja tas</w:t>
      </w:r>
      <w:r w:rsidRPr="00FA1706">
        <w:rPr>
          <w:lang w:val="fi-FI"/>
        </w:rPr>
        <w:t xml:space="preserve">eessa aiheuttaa muuntoeron, joka kirjataan omaan pääomaan. Ulkomaisten yritysten hankintamenon eliminoinnista sekä hankinnan jälkeen kertyneiden oman pääoman erien muuntamisesta syntyvät muuntoerot esitetään myös omassa pääomassa. Lisäksi omassa pääomassa </w:t>
      </w:r>
      <w:r w:rsidRPr="00FA1706">
        <w:rPr>
          <w:lang w:val="fi-FI"/>
        </w:rPr>
        <w:t>esitetään tytäryrityksen nettoinvestoinneista ja pitkäaikaisesta tytäryhtiölainasta ilman sovittua suorituspäivää syntyvät muuntoerot. Muuntoerojen muutokset kirjataan muihin laajan tuloksen eriin.</w:t>
      </w:r>
    </w:p>
    <w:p w:rsidR="00FA1706" w:rsidRPr="00FA1706" w:rsidP="00FA1706" w14:paraId="3980827C" w14:textId="7A3CF291">
      <w:pPr>
        <w:pStyle w:val="Bodytext2"/>
        <w:rPr>
          <w:lang w:val="fi-FI"/>
        </w:rPr>
      </w:pPr>
    </w:p>
    <w:p w:rsidR="00FA1706" w:rsidRPr="00FA1706" w:rsidP="00FA1706" w14:paraId="121AA24C" w14:textId="2273B9F0">
      <w:pPr>
        <w:pStyle w:val="Heading13"/>
        <w:rPr>
          <w:lang w:val="fi-FI"/>
        </w:rPr>
      </w:pPr>
      <w:r>
        <w:rPr>
          <w:lang w:val="fi-FI"/>
        </w:rPr>
        <w:t>A</w:t>
      </w:r>
      <w:r w:rsidRPr="00FA1706">
        <w:rPr>
          <w:lang w:val="fi-FI"/>
        </w:rPr>
        <w:t>rvonmuutosrahasto</w:t>
      </w:r>
    </w:p>
    <w:p w:rsidR="00FA1706" w:rsidP="00FA1706" w14:paraId="211B91E6" w14:textId="45321325">
      <w:pPr>
        <w:pStyle w:val="Bodytext2"/>
        <w:rPr>
          <w:lang w:val="fi-FI"/>
        </w:rPr>
      </w:pPr>
      <w:r w:rsidRPr="00FA1706">
        <w:rPr>
          <w:lang w:val="fi-FI"/>
        </w:rPr>
        <w:t>Arvonmuutosrahasto sisältää rahavirran</w:t>
      </w:r>
      <w:r w:rsidRPr="00FA1706">
        <w:rPr>
          <w:lang w:val="fi-FI"/>
        </w:rPr>
        <w:t xml:space="preserve"> suojauksessa käytettyjen instrumenttien käyvän arvon muutokset, jos suojaus on tehokas ja täyttää suojauslaskennan edellytykset. Muutokset arvonmuutosrahastoon sisältyvissä erissä kirjataan muihin laajan tuloksen eriin.</w:t>
      </w:r>
    </w:p>
    <w:p w:rsidR="00FA1706" w:rsidRPr="00FA1706" w:rsidP="00FA1706" w14:paraId="2D1547F0" w14:textId="77777777">
      <w:pPr>
        <w:pStyle w:val="Bodytext2"/>
        <w:rPr>
          <w:lang w:val="fi-FI"/>
        </w:rPr>
      </w:pPr>
    </w:p>
    <w:p w:rsidR="00FA1706" w:rsidRPr="003A7F3F" w:rsidP="00FA1706" w14:paraId="07C248DA" w14:textId="3F64D6AE">
      <w:pPr>
        <w:pStyle w:val="Bodytext2"/>
        <w:rPr>
          <w:sz w:val="2"/>
          <w:szCs w:val="2"/>
          <w:lang w:val="fi-FI"/>
        </w:rPr>
      </w:pPr>
      <w:r w:rsidRPr="00FA1706">
        <w:rPr>
          <w:lang w:val="fi-FI"/>
        </w:rPr>
        <w:t>Vuoden 20</w:t>
      </w:r>
      <w:r>
        <w:rPr>
          <w:lang w:val="fi-FI"/>
        </w:rPr>
        <w:t>20</w:t>
      </w:r>
      <w:r w:rsidRPr="00FA1706">
        <w:rPr>
          <w:lang w:val="fi-FI"/>
        </w:rPr>
        <w:t xml:space="preserve"> aikana on rahavirtasuo</w:t>
      </w:r>
      <w:r w:rsidRPr="00FA1706">
        <w:rPr>
          <w:lang w:val="fi-FI"/>
        </w:rPr>
        <w:t xml:space="preserve">jausten käypien arvojen muutoksia kirjattu omaan pääomaan </w:t>
      </w:r>
      <w:r>
        <w:rPr>
          <w:lang w:val="fi-FI"/>
        </w:rPr>
        <w:t>-4</w:t>
      </w:r>
      <w:r w:rsidRPr="00FA1706">
        <w:rPr>
          <w:lang w:val="fi-FI"/>
        </w:rPr>
        <w:t xml:space="preserve"> milj. euroa (4). Omasta pääomasta on vuoden aikana kirjattu tuloslaskelmaan </w:t>
      </w:r>
      <w:r>
        <w:rPr>
          <w:lang w:val="fi-FI"/>
        </w:rPr>
        <w:t>6</w:t>
      </w:r>
      <w:r w:rsidRPr="00FA1706">
        <w:rPr>
          <w:lang w:val="fi-FI"/>
        </w:rPr>
        <w:t xml:space="preserve"> milj. euroa (</w:t>
      </w:r>
      <w:r>
        <w:rPr>
          <w:lang w:val="fi-FI"/>
        </w:rPr>
        <w:t>19</w:t>
      </w:r>
      <w:r w:rsidRPr="00FA1706">
        <w:rPr>
          <w:lang w:val="fi-FI"/>
        </w:rPr>
        <w:t>) myynnin tai ostojen oikaisun</w:t>
      </w:r>
      <w:r>
        <w:rPr>
          <w:lang w:val="fi-FI"/>
        </w:rPr>
        <w:t>a.</w:t>
      </w:r>
      <w:r>
        <w:rPr>
          <w:lang w:val="fi-FI"/>
        </w:rPr>
        <w:br w:type="column"/>
      </w:r>
    </w:p>
    <w:tbl>
      <w:tblPr>
        <w:tblStyle w:val="TableNormal"/>
        <w:tblCaption w:val="table_55_FV_reserve"/>
        <w:tblW w:w="7305" w:type="dxa"/>
        <w:tblLayout w:type="fixed"/>
        <w:tblLook w:val="0600"/>
      </w:tblPr>
      <w:tblGrid>
        <w:gridCol w:w="3525"/>
        <w:gridCol w:w="945"/>
        <w:gridCol w:w="945"/>
        <w:gridCol w:w="945"/>
        <w:gridCol w:w="945"/>
      </w:tblGrid>
      <w:tr>
        <w:tblPrEx>
          <w:tblW w:w="7305" w:type="dxa"/>
          <w:tblLayout w:type="fixed"/>
          <w:tblLook w:val="0600"/>
        </w:tblPrEx>
        <w:trPr>
          <w:trHeight w:val="240"/>
        </w:trPr>
        <w:tc>
          <w:tcPr>
            <w:tcW w:w="35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Rahavirran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suojaukset</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Arvonmuutosrahasto 1.1.2019</w:t>
            </w: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Käyvän arvon muutoksiin liittyvät verot</w:t>
            </w:r>
          </w:p>
        </w:tc>
        <w:tc>
          <w:tcPr>
            <w:tcW w:w="94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Arvonmuutosrahasto 1.1.2019</w:t>
            </w: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Siirretty tuloslaskelmaan, veroilla vähennettynä</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Käyvän arvon muutokset</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Arvonmuutosrahasto 31.12.2019</w:t>
            </w:r>
          </w:p>
        </w:tc>
        <w:tc>
          <w:tcPr>
            <w:tcW w:w="945"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Siirretty tuloslaskelmaan, veroilla vähennettynä</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Käyvän arvon muutokset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Käyvän arvon muutoksiin liittyvät verot</w:t>
            </w:r>
          </w:p>
        </w:tc>
        <w:tc>
          <w:tcPr>
            <w:tcW w:w="94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470"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Arvonmuutosrahasto 31.12.2020</w:t>
            </w:r>
          </w:p>
        </w:tc>
        <w:tc>
          <w:tcPr>
            <w:tcW w:w="94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r>
    </w:tbl>
    <w:p w:rsidR="00FA1706" w:rsidRPr="007B07F5" w:rsidP="00FA1706" w14:paraId="756504DC" w14:textId="77777777">
      <w:pPr>
        <w:pStyle w:val="Bodytext2"/>
        <w:rPr>
          <w:lang w:val="fi-FI"/>
        </w:rPr>
      </w:pPr>
    </w:p>
    <w:p w:rsidR="00FA1706" w:rsidRPr="007B07F5" w:rsidP="00FA1706" w14:paraId="3F7868D4" w14:textId="0AE9AD9E">
      <w:pPr>
        <w:pStyle w:val="Heading13"/>
        <w:rPr>
          <w:lang w:val="fi-FI"/>
        </w:rPr>
      </w:pPr>
      <w:r w:rsidRPr="007B07F5">
        <w:rPr>
          <w:lang w:val="fi-FI"/>
        </w:rPr>
        <w:t>Emoyhtiön voitonjakokelpoiset varat</w:t>
      </w:r>
    </w:p>
    <w:tbl>
      <w:tblPr>
        <w:tblStyle w:val="TableGrid0"/>
        <w:tblW w:w="7371" w:type="dxa"/>
        <w:tblInd w:w="5" w:type="dxa"/>
        <w:tblLook w:val="04A0"/>
      </w:tblPr>
      <w:tblGrid>
        <w:gridCol w:w="7371"/>
      </w:tblGrid>
      <w:tr w14:paraId="2388F932" w14:textId="77777777" w:rsidTr="00FA1706">
        <w:tblPrEx>
          <w:tblW w:w="7371" w:type="dxa"/>
          <w:tblInd w:w="5" w:type="dxa"/>
          <w:tblLook w:val="04A0"/>
        </w:tblPrEx>
        <w:tc>
          <w:tcPr>
            <w:tcW w:w="7361" w:type="dxa"/>
            <w:shd w:val="clear" w:color="auto" w:fill="B6C8D1"/>
            <w:hideMark/>
          </w:tcPr>
          <w:p w:rsidR="00FA1706" w:rsidRPr="00FA1706" w14:paraId="095A5F11" w14:textId="1E7E18CE">
            <w:pPr>
              <w:pStyle w:val="Heading13"/>
              <w:rPr>
                <w:rFonts w:cstheme="minorHAnsi"/>
                <w:color w:val="auto"/>
              </w:rPr>
            </w:pPr>
            <w:r w:rsidRPr="00FA1706">
              <w:t>Laadin</w:t>
            </w:r>
            <w:r w:rsidRPr="00FA1706">
              <w:t>taperiaatteet</w:t>
            </w:r>
          </w:p>
          <w:p w:rsidR="00FA1706" w:rsidRPr="00FA1706" w14:paraId="6AFDBEAE" w14:textId="797BBF66">
            <w:pPr>
              <w:pStyle w:val="Bodytext2"/>
            </w:pPr>
            <w:r w:rsidRPr="00FA1706">
              <w:t>Hallituksen yhtiökokoukselle ehdottamat osingot vähennetään voitonjakokelpoisesta omasta pääomasta yhtiökokouksen päätöksen jälkeen. Maksamattomat osingot esitetään velkana konsernitilinpäätöksessä.</w:t>
            </w:r>
          </w:p>
        </w:tc>
      </w:tr>
    </w:tbl>
    <w:p w:rsidR="00FA1706" w:rsidRPr="00FA1706" w:rsidP="00FA1706" w14:paraId="58CCC0DD" w14:textId="77777777">
      <w:pPr>
        <w:pStyle w:val="Bodytext2"/>
        <w:rPr>
          <w:b/>
          <w:bCs/>
          <w:lang w:val="fi-FI" w:eastAsia="fi-FI"/>
        </w:rPr>
      </w:pPr>
    </w:p>
    <w:p w:rsidR="00FA1706" w:rsidRPr="007B07F5" w:rsidP="00FA1706" w14:paraId="26DBBA5F" w14:textId="5052F757">
      <w:pPr>
        <w:pStyle w:val="Bodytext2"/>
        <w:rPr>
          <w:lang w:val="fi-FI"/>
        </w:rPr>
      </w:pPr>
      <w:r w:rsidRPr="00FA1706">
        <w:rPr>
          <w:lang w:val="fi-FI"/>
        </w:rPr>
        <w:t xml:space="preserve">Tilinpäätöspäivän jälkeen </w:t>
      </w:r>
      <w:r w:rsidRPr="00FA1706">
        <w:rPr>
          <w:lang w:val="fi-FI"/>
        </w:rPr>
        <w:t>hallitus on esittänyt, että 31.12.20</w:t>
      </w:r>
      <w:r>
        <w:rPr>
          <w:lang w:val="fi-FI"/>
        </w:rPr>
        <w:t>20</w:t>
      </w:r>
      <w:r w:rsidRPr="00FA1706">
        <w:rPr>
          <w:lang w:val="fi-FI"/>
        </w:rPr>
        <w:t xml:space="preserve"> päättyneeltä tilikaudelta jaetaan osinkona </w:t>
      </w:r>
      <w:r>
        <w:rPr>
          <w:lang w:val="fi-FI"/>
        </w:rPr>
        <w:t>0,20</w:t>
      </w:r>
      <w:r w:rsidRPr="00FA1706">
        <w:rPr>
          <w:lang w:val="fi-FI"/>
        </w:rPr>
        <w:t xml:space="preserve"> euroa osakkeelta. Näin osingonjako on yhteensä </w:t>
      </w:r>
      <w:r>
        <w:rPr>
          <w:lang w:val="fi-FI"/>
        </w:rPr>
        <w:t>118</w:t>
      </w:r>
      <w:r w:rsidRPr="00FA1706">
        <w:rPr>
          <w:lang w:val="fi-FI"/>
        </w:rPr>
        <w:t xml:space="preserve"> milj. euroa. </w:t>
      </w:r>
      <w:r w:rsidRPr="007B07F5">
        <w:rPr>
          <w:lang w:val="fi-FI"/>
        </w:rPr>
        <w:t xml:space="preserve">Jäljelle jäävä osa kertyneistä voittovaroista jätetään vapaaseen omaan pääomaan. </w:t>
      </w:r>
      <w:r w:rsidRPr="00FA1706">
        <w:rPr>
          <w:lang w:val="fi-FI"/>
        </w:rPr>
        <w:t>Tilikauden 2019 voitosta</w:t>
      </w:r>
      <w:r w:rsidRPr="00FA1706">
        <w:rPr>
          <w:lang w:val="fi-FI"/>
        </w:rPr>
        <w:t xml:space="preserve"> jaettiin osinkona 0,48 euroa osakkeelta osingonjaon ollessa yhteensä 284 milj. euroa. </w:t>
      </w:r>
      <w:r w:rsidRPr="007B07F5">
        <w:rPr>
          <w:lang w:val="fi-FI"/>
        </w:rPr>
        <w:t>Jäljelle jäänyt osa kertyneistä voittovaroista jätettiin yhtiön vapaaseen omaan pääomaan.</w:t>
      </w:r>
    </w:p>
    <w:p w:rsidR="00FA1706" w:rsidRPr="007B07F5" w:rsidP="00FA1706" w14:paraId="568999AA" w14:textId="4C27009A">
      <w:pPr>
        <w:pStyle w:val="Bodytext2"/>
        <w:rPr>
          <w:lang w:val="fi-FI"/>
        </w:rPr>
      </w:pPr>
    </w:p>
    <w:p w:rsidR="00FA1706" w:rsidRPr="00FA1706" w:rsidP="00FA1706" w14:paraId="49AC79D9" w14:textId="77D8EFB6">
      <w:pPr>
        <w:pStyle w:val="Bodytext2"/>
        <w:rPr>
          <w:lang w:val="fi-FI"/>
        </w:rPr>
      </w:pPr>
      <w:r w:rsidRPr="00FA1706">
        <w:rPr>
          <w:lang w:val="fi-FI"/>
        </w:rPr>
        <w:t>Lisätietoja omasta pääomasta esitetään emoyhtiön tilinpäätöksen liitetiedoissa</w:t>
      </w:r>
      <w:r w:rsidRPr="00FA1706">
        <w:rPr>
          <w:lang w:val="fi-FI"/>
        </w:rPr>
        <w:t>, liitetiedossa 10. Oma pääoma.</w:t>
      </w:r>
    </w:p>
    <w:p/>
    <w:p w:rsidR="00A9507E" w:rsidRPr="008E6277" w:rsidP="00A9507E" w14:paraId="2A55769C" w14:textId="0C6DFAC3">
      <w:pPr>
        <w:pStyle w:val="Heading12"/>
        <w:rPr>
          <w:lang w:val="fi-FI"/>
        </w:rPr>
      </w:pPr>
      <w:bookmarkStart w:id="1151" w:name="RG_MARKER_4712"/>
      <w:r w:rsidRPr="008E6277">
        <w:rPr>
          <w:lang w:val="fi-FI"/>
        </w:rPr>
        <w:t>5.6. RAHOITUSVELKOJEN MATURITEETTIANALYYSI</w:t>
      </w:r>
      <w:bookmarkEnd w:id="1151"/>
    </w:p>
    <w:p w:rsidR="00A9507E" w:rsidRPr="008E6277" w:rsidP="00A9507E" w14:paraId="2BB4087A" w14:textId="77777777">
      <w:pPr>
        <w:pStyle w:val="Bodytext2"/>
        <w:rPr>
          <w:lang w:val="fi-FI"/>
        </w:rPr>
      </w:pPr>
    </w:p>
    <w:p w:rsidR="00A9507E" w:rsidRPr="008E6277" w:rsidP="00A9507E" w14:paraId="34B606F0" w14:textId="77777777">
      <w:pPr>
        <w:pStyle w:val="Heading13"/>
        <w:rPr>
          <w:lang w:val="fi-FI"/>
        </w:rPr>
      </w:pPr>
      <w:r w:rsidRPr="008E6277">
        <w:rPr>
          <w:lang w:val="fi-FI"/>
        </w:rPr>
        <w:t>2020</w:t>
      </w:r>
    </w:p>
    <w:tbl>
      <w:tblPr>
        <w:tblStyle w:val="TableNormal"/>
        <w:tblCaption w:val="table_56_cur"/>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val="240"/>
        </w:trPr>
        <w:tc>
          <w:tcPr>
            <w:tcW w:w="25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aikainen</w:t>
            </w:r>
          </w:p>
        </w:tc>
        <w:tc>
          <w:tcPr>
            <w:tcW w:w="945" w:type="dxa"/>
            <w:tcBorders>
              <w:top w:val="nil"/>
              <w:left w:val="nil"/>
              <w:bottom w:val="nil"/>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aikainen</w:t>
            </w:r>
          </w:p>
        </w:tc>
        <w:tc>
          <w:tcPr>
            <w:tcW w:w="945" w:type="dxa"/>
            <w:tcBorders>
              <w:top w:val="nil"/>
              <w:left w:val="nil"/>
              <w:bottom w:val="nil"/>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&lt; 1 vuosi</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 vuotta</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 vuotta</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&gt; 5 vuotta</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Lainat muilta rahoituslaitoksilta*</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155</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481</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232</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292</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1 160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Vuokrasopimusvelat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59</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190</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korolliset lainat*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BEBEB"/>
                <w:sz w:val="13"/>
                <w:u w:val="none"/>
                <w:vertAlign w:val="baseline"/>
              </w:rPr>
            </w:pPr>
            <w:r>
              <w:rPr>
                <w:rFonts w:ascii="Arial" w:eastAsia="Arial" w:hAnsi="Arial" w:cs="Arial"/>
                <w:b/>
                <w:i w:val="0"/>
                <w:strike w:val="0"/>
                <w:color w:val="EBEBEB"/>
                <w:sz w:val="13"/>
                <w:u w:val="none"/>
                <w:vertAlign w:val="baseline"/>
              </w:rPr>
              <w:t>0</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411</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velat</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629</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545</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270</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350</w:t>
            </w: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1 794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Arvioidut korkokustannukset yhteensä</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Arvioidut sopimusperusteiset rahavirrat</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637</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557</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276</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353</w:t>
            </w:r>
          </w:p>
        </w:tc>
        <w:tc>
          <w:tcPr>
            <w:tcW w:w="9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1 822</w:t>
            </w:r>
          </w:p>
        </w:tc>
      </w:tr>
    </w:tbl>
    <w:p w:rsidR="00A9507E" w:rsidRPr="008E6277" w:rsidP="00A9507E" w14:paraId="7A0602C3" w14:textId="77777777">
      <w:pPr>
        <w:pStyle w:val="Bodytext2"/>
        <w:rPr>
          <w:lang w:val="fi-FI"/>
        </w:rPr>
      </w:pPr>
    </w:p>
    <w:p w:rsidR="00A9507E" w:rsidRPr="008E6277" w:rsidP="00A9507E" w14:paraId="53A4FDAE" w14:textId="77777777">
      <w:pPr>
        <w:pStyle w:val="Heading13"/>
        <w:rPr>
          <w:lang w:val="fi-FI"/>
        </w:rPr>
      </w:pPr>
      <w:r w:rsidRPr="008E6277">
        <w:rPr>
          <w:lang w:val="fi-FI"/>
        </w:rPr>
        <w:t>2019</w:t>
      </w:r>
    </w:p>
    <w:tbl>
      <w:tblPr>
        <w:tblStyle w:val="TableNormal"/>
        <w:tblCaption w:val="table_56_pre"/>
        <w:tblW w:w="7290" w:type="dxa"/>
        <w:tblLayout w:type="fixed"/>
        <w:tblLook w:val="0600"/>
      </w:tblPr>
      <w:tblGrid>
        <w:gridCol w:w="2565"/>
        <w:gridCol w:w="945"/>
        <w:gridCol w:w="945"/>
        <w:gridCol w:w="945"/>
        <w:gridCol w:w="945"/>
        <w:gridCol w:w="945"/>
      </w:tblGrid>
      <w:tr>
        <w:tblPrEx>
          <w:tblW w:w="7290" w:type="dxa"/>
          <w:tblLayout w:type="fixed"/>
          <w:tblLook w:val="0600"/>
        </w:tblPrEx>
        <w:trPr>
          <w:trHeight w:val="240"/>
        </w:trPr>
        <w:tc>
          <w:tcPr>
            <w:tcW w:w="256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aikainen</w:t>
            </w:r>
          </w:p>
        </w:tc>
        <w:tc>
          <w:tcPr>
            <w:tcW w:w="945" w:type="dxa"/>
            <w:tcBorders>
              <w:top w:val="nil"/>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aikainen</w:t>
            </w:r>
          </w:p>
        </w:tc>
        <w:tc>
          <w:tcPr>
            <w:tcW w:w="94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&lt; 1 vuosi</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 vuotta</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 vuotta</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&gt; 5 vuotta</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Lainat muilta rahoituslaitoksilta*</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263</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258</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328</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906</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Vuokrasopimusvelat</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65</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215</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korolliset lainat*</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624</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624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velat</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741</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339</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301</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392</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1 774</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Arvioidut korkokustannukset yhteensä</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r>
        <w:tblPrEx>
          <w:tblW w:w="7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Arvioidut sopimusperusteiset rahavirrat</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748</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351</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309</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395</w:t>
            </w:r>
          </w:p>
        </w:tc>
        <w:tc>
          <w:tcPr>
            <w:tcW w:w="9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1 804</w:t>
            </w:r>
          </w:p>
        </w:tc>
      </w:tr>
    </w:tbl>
    <w:p w:rsidR="00A9507E" w:rsidRPr="008E6277" w:rsidP="00A9507E" w14:paraId="010D1BDC" w14:textId="77777777">
      <w:pPr>
        <w:pStyle w:val="Bodytext2"/>
        <w:rPr>
          <w:lang w:val="fi-FI"/>
        </w:rPr>
      </w:pPr>
    </w:p>
    <w:p w:rsidR="00A9507E" w:rsidRPr="00A9507E" w:rsidP="00A9507E" w14:paraId="76155001" w14:textId="74CB9AAD">
      <w:pPr>
        <w:pStyle w:val="Bodytext2"/>
        <w:rPr>
          <w:lang w:val="fi-FI"/>
        </w:rPr>
      </w:pPr>
      <w:r w:rsidRPr="00A9507E">
        <w:rPr>
          <w:lang w:val="fi-FI"/>
        </w:rPr>
        <w:t>** Markkina-arvoltaan negatiivisten johdannaisten arvostus eräpäivän mukaan. Sopimusten mukaiset nimellisarvot esitetään liitte</w:t>
      </w:r>
      <w:r>
        <w:rPr>
          <w:lang w:val="fi-FI"/>
        </w:rPr>
        <w:t>tiedossa</w:t>
      </w:r>
      <w:r w:rsidRPr="00A9507E">
        <w:rPr>
          <w:lang w:val="fi-FI"/>
        </w:rPr>
        <w:t xml:space="preserve"> </w:t>
      </w:r>
      <w:r>
        <w:rPr>
          <w:lang w:val="fi-FI"/>
        </w:rPr>
        <w:t>5.7</w:t>
      </w:r>
      <w:r w:rsidRPr="00A9507E">
        <w:rPr>
          <w:lang w:val="fi-FI"/>
        </w:rPr>
        <w:t xml:space="preserve">. </w:t>
      </w:r>
      <w:r w:rsidRPr="00A9507E">
        <w:rPr>
          <w:lang w:val="fi-FI"/>
        </w:rPr>
        <w:t>Johdannaisinstrumentit.</w:t>
      </w:r>
    </w:p>
    <w:p w:rsidR="00A9507E" w:rsidRPr="00A9507E" w:rsidP="00A9507E" w14:paraId="2AAB307F" w14:textId="07665225">
      <w:pPr>
        <w:pStyle w:val="Bodytext2"/>
        <w:rPr>
          <w:lang w:val="fi-FI"/>
        </w:rPr>
      </w:pPr>
    </w:p>
    <w:p w:rsidR="008E6277" w:rsidP="00A9507E" w14:paraId="120370D8" w14:textId="77777777">
      <w:pPr>
        <w:pStyle w:val="Bodytext2"/>
        <w:rPr>
          <w:lang w:val="fi-FI"/>
        </w:rPr>
      </w:pPr>
      <w:r w:rsidRPr="00A9507E">
        <w:rPr>
          <w:lang w:val="fi-FI"/>
        </w:rPr>
        <w:t>Pitkäaikaisten lainojen korkokulut lasketaan 31.12.20</w:t>
      </w:r>
      <w:r>
        <w:rPr>
          <w:lang w:val="fi-FI"/>
        </w:rPr>
        <w:t>20</w:t>
      </w:r>
      <w:r w:rsidRPr="00A9507E">
        <w:rPr>
          <w:lang w:val="fi-FI"/>
        </w:rPr>
        <w:t xml:space="preserve"> vallitsevien keskimääräisten korkojen perusteella.</w:t>
      </w:r>
    </w:p>
    <w:p w:rsidR="008E6277" w:rsidP="00A9507E" w14:paraId="6842C08D" w14:textId="77777777">
      <w:pPr>
        <w:pStyle w:val="Bodytext2"/>
        <w:rPr>
          <w:lang w:val="fi-FI"/>
        </w:rPr>
      </w:pPr>
    </w:p>
    <w:p w:rsidR="00A9507E" w:rsidRPr="00A9507E" w:rsidP="00A9507E" w14:paraId="15984792" w14:textId="612C276A">
      <w:pPr>
        <w:pStyle w:val="Bodytext2"/>
        <w:rPr>
          <w:lang w:val="fi-FI"/>
        </w:rPr>
      </w:pPr>
      <w:r w:rsidRPr="00A9507E">
        <w:rPr>
          <w:lang w:val="fi-FI"/>
        </w:rPr>
        <w:t xml:space="preserve">Rahoitusvelkojen käyvät arvot esitetään liitetiedossa </w:t>
      </w:r>
      <w:r>
        <w:rPr>
          <w:lang w:val="fi-FI"/>
        </w:rPr>
        <w:t>5.2</w:t>
      </w:r>
      <w:r w:rsidRPr="00A9507E">
        <w:rPr>
          <w:lang w:val="fi-FI"/>
        </w:rPr>
        <w:t>. Rahoitusvarat ja -velat arvostusryhmittäin.</w:t>
      </w:r>
      <w:r>
        <w:rPr>
          <w:lang w:val="fi-FI"/>
        </w:rPr>
        <w:t xml:space="preserve"> </w:t>
      </w:r>
      <w:r w:rsidRPr="00A9507E">
        <w:rPr>
          <w:lang w:val="fi-FI"/>
        </w:rPr>
        <w:t>Lisätietoa rahoitusv</w:t>
      </w:r>
      <w:r w:rsidRPr="00A9507E">
        <w:rPr>
          <w:lang w:val="fi-FI"/>
        </w:rPr>
        <w:t xml:space="preserve">elkojen arvostusryhmistä on esitetty liitetiedossa 5.2. </w:t>
      </w:r>
      <w:r>
        <w:rPr>
          <w:lang w:val="fi-FI"/>
        </w:rPr>
        <w:t>Rahoitusvarat ja -velat arvostusryhmittäin.</w:t>
      </w:r>
    </w:p>
    <w:p/>
    <w:p w:rsidR="00030F0B" w:rsidP="00030F0B" w14:paraId="52762EAE" w14:textId="3D2FC52A">
      <w:pPr>
        <w:pStyle w:val="Heading12"/>
      </w:pPr>
      <w:bookmarkStart w:id="1152" w:name="RG_MARKER_4711"/>
      <w:r>
        <w:t xml:space="preserve">5.7. </w:t>
      </w:r>
      <w:bookmarkEnd w:id="1152"/>
      <w:r w:rsidR="006C36EB">
        <w:t>JOHDANNAISINSTRUMENTIT</w:t>
      </w:r>
    </w:p>
    <w:tbl>
      <w:tblPr>
        <w:tblStyle w:val="TableGrid"/>
        <w:tblW w:w="7371" w:type="dxa"/>
        <w:tblLook w:val="04A0"/>
      </w:tblPr>
      <w:tblGrid>
        <w:gridCol w:w="7371"/>
      </w:tblGrid>
      <w:tr w14:paraId="4804451C" w14:textId="77777777" w:rsidTr="00030F0B">
        <w:tblPrEx>
          <w:tblW w:w="7371" w:type="dxa"/>
          <w:tblLook w:val="04A0"/>
        </w:tblPrEx>
        <w:tc>
          <w:tcPr>
            <w:tcW w:w="7371" w:type="dxa"/>
            <w:tcBorders>
              <w:top w:val="nil"/>
              <w:left w:val="nil"/>
              <w:bottom w:val="nil"/>
              <w:right w:val="nil"/>
            </w:tcBorders>
            <w:shd w:val="clear" w:color="auto" w:fill="B6C8D1"/>
          </w:tcPr>
          <w:p w:rsidR="00030F0B" w:rsidRPr="00B339E6" w14:paraId="1AE9A094" w14:textId="35088B44">
            <w:pPr>
              <w:pStyle w:val="Heading13"/>
              <w:rPr>
                <w:rFonts w:eastAsiaTheme="minorEastAsia" w:cstheme="minorHAnsi"/>
                <w:lang w:val="fi-FI" w:eastAsia="fi-FI"/>
              </w:rPr>
            </w:pPr>
            <w:r w:rsidRPr="00B339E6">
              <w:rPr>
                <w:lang w:val="fi-FI"/>
              </w:rPr>
              <w:t>Laadintaperiaatteet</w:t>
            </w:r>
          </w:p>
          <w:p w:rsidR="00030F0B" w:rsidRPr="00B339E6" w14:paraId="0FC21FAA" w14:textId="598C09BF">
            <w:pPr>
              <w:pStyle w:val="Heading13"/>
              <w:rPr>
                <w:rFonts w:eastAsiaTheme="minorEastAsia" w:cstheme="minorHAnsi"/>
                <w:color w:val="0F172B"/>
                <w:lang w:val="fi-FI" w:eastAsia="fi-FI"/>
              </w:rPr>
            </w:pPr>
            <w:r w:rsidRPr="00B339E6">
              <w:rPr>
                <w:color w:val="0F172B"/>
                <w:lang w:val="fi-FI"/>
              </w:rPr>
              <w:t>Johdannaiset ja suojauslaskenta</w:t>
            </w:r>
          </w:p>
          <w:p w:rsidR="00030F0B" w14:paraId="77003C29" w14:textId="604450DC">
            <w:pPr>
              <w:pStyle w:val="Bodytext2"/>
              <w:rPr>
                <w:color w:val="0F172B"/>
                <w:lang w:val="fi-FI"/>
              </w:rPr>
            </w:pPr>
            <w:r w:rsidRPr="006C36EB">
              <w:rPr>
                <w:color w:val="0F172B"/>
                <w:lang w:val="fi-FI"/>
              </w:rPr>
              <w:t>Johdannaiset kirjataan alun</w:t>
            </w:r>
            <w:r>
              <w:rPr>
                <w:color w:val="0F172B"/>
                <w:lang w:val="fi-FI"/>
              </w:rPr>
              <w:t xml:space="preserve"> </w:t>
            </w:r>
            <w:r w:rsidRPr="006C36EB">
              <w:rPr>
                <w:color w:val="0F172B"/>
                <w:lang w:val="fi-FI"/>
              </w:rPr>
              <w:t>perin t</w:t>
            </w:r>
            <w:r>
              <w:rPr>
                <w:color w:val="0F172B"/>
                <w:lang w:val="fi-FI"/>
              </w:rPr>
              <w:t xml:space="preserve">aseeseen käypään arvoon ja myöhemmin ne luokitellaan ja arvostetaan kunkin raportointikauden päättymispäivän mukaiseen käypään arvoon. </w:t>
            </w:r>
            <w:r w:rsidRPr="00C1185E">
              <w:rPr>
                <w:color w:val="0F172B"/>
                <w:lang w:val="fi-FI"/>
              </w:rPr>
              <w:t>Voitot ja tappiot käypään arvoon arvostamisesta kirjataan tuloslaskelmalle</w:t>
            </w:r>
            <w:r w:rsidRPr="00C1185E" w:rsidR="00C1185E">
              <w:rPr>
                <w:color w:val="0F172B"/>
                <w:lang w:val="fi-FI"/>
              </w:rPr>
              <w:t xml:space="preserve"> johdannaisen k</w:t>
            </w:r>
            <w:r w:rsidR="00C1185E">
              <w:rPr>
                <w:color w:val="0F172B"/>
                <w:lang w:val="fi-FI"/>
              </w:rPr>
              <w:t>äyttötarkoituksen määräämällä tavalla.</w:t>
            </w:r>
          </w:p>
          <w:p w:rsidR="00C1185E" w:rsidRPr="00C1185E" w14:paraId="6E67445B" w14:textId="77777777">
            <w:pPr>
              <w:pStyle w:val="Bodytext2"/>
              <w:rPr>
                <w:color w:val="0F172B"/>
                <w:lang w:val="fi-FI"/>
              </w:rPr>
            </w:pPr>
          </w:p>
          <w:p w:rsidR="00030F0B" w:rsidRPr="00B339E6" w14:paraId="5F10E422" w14:textId="7DD9F114">
            <w:pPr>
              <w:pStyle w:val="Heading13"/>
              <w:rPr>
                <w:rFonts w:eastAsiaTheme="minorEastAsia" w:cstheme="minorHAnsi"/>
                <w:lang w:val="fi-FI" w:eastAsia="fi-FI"/>
              </w:rPr>
            </w:pPr>
            <w:r w:rsidRPr="00B339E6">
              <w:rPr>
                <w:lang w:val="fi-FI"/>
              </w:rPr>
              <w:t>Suojauslaskenta</w:t>
            </w:r>
          </w:p>
          <w:p w:rsidR="00AC21B7" w:rsidRPr="00B339E6" w14:paraId="6C0657D3" w14:textId="387865E1">
            <w:pPr>
              <w:pStyle w:val="Bodytext2"/>
              <w:rPr>
                <w:color w:val="0F172B"/>
                <w:lang w:val="fi-FI"/>
              </w:rPr>
            </w:pPr>
            <w:r w:rsidRPr="00C1185E">
              <w:rPr>
                <w:color w:val="0F172B"/>
                <w:lang w:val="fi-FI"/>
              </w:rPr>
              <w:t xml:space="preserve">Wärtsilä </w:t>
            </w:r>
            <w:r w:rsidRPr="00C1185E" w:rsidR="00C1185E">
              <w:rPr>
                <w:color w:val="0F172B"/>
                <w:lang w:val="fi-FI"/>
              </w:rPr>
              <w:t xml:space="preserve">suojaa </w:t>
            </w:r>
            <w:r w:rsidR="00C1185E">
              <w:rPr>
                <w:color w:val="0F172B"/>
                <w:lang w:val="fi-FI"/>
              </w:rPr>
              <w:t>m</w:t>
            </w:r>
            <w:r w:rsidRPr="00C1185E" w:rsidR="00C1185E">
              <w:rPr>
                <w:color w:val="0F172B"/>
                <w:lang w:val="fi-FI"/>
              </w:rPr>
              <w:t>yynteihin ja ostoihin liittyviä ulkomaan valuutan määräisiä rahavirtoja valuuttatermiineillä tai -optioilla</w:t>
            </w:r>
            <w:r w:rsidR="00C1185E">
              <w:rPr>
                <w:color w:val="0F172B"/>
                <w:lang w:val="fi-FI"/>
              </w:rPr>
              <w:t xml:space="preserve"> sekä soveltaa IFRS 9:n mukaista suojauslaskentaa enemmistöön näistä valuuttatermiineistä. </w:t>
            </w:r>
            <w:r w:rsidR="003F2116">
              <w:rPr>
                <w:color w:val="0F172B"/>
                <w:lang w:val="fi-FI"/>
              </w:rPr>
              <w:t>Termiinipisteet</w:t>
            </w:r>
            <w:r w:rsidRPr="003F2116" w:rsidR="003F2116">
              <w:rPr>
                <w:color w:val="0F172B"/>
                <w:lang w:val="fi-FI"/>
              </w:rPr>
              <w:t xml:space="preserve"> jätetään suojaussuhteen ulkopuolelle, ja jos suoja on k</w:t>
            </w:r>
            <w:r w:rsidR="003F2116">
              <w:rPr>
                <w:color w:val="0F172B"/>
                <w:lang w:val="fi-FI"/>
              </w:rPr>
              <w:t xml:space="preserve">okonaan tai osittain tehoton, tehoton osuus kirjataan välittömästi </w:t>
            </w:r>
            <w:r>
              <w:rPr>
                <w:color w:val="0F172B"/>
                <w:lang w:val="fi-FI"/>
              </w:rPr>
              <w:t>raportointi</w:t>
            </w:r>
            <w:r w:rsidR="003F2116">
              <w:rPr>
                <w:color w:val="0F172B"/>
                <w:lang w:val="fi-FI"/>
              </w:rPr>
              <w:t xml:space="preserve">kauden rahoituseriin. </w:t>
            </w:r>
            <w:r w:rsidRPr="00B339E6" w:rsidR="003F2116">
              <w:rPr>
                <w:color w:val="0F172B"/>
                <w:lang w:val="fi-FI"/>
              </w:rPr>
              <w:t xml:space="preserve">Wärtsilä saattaa </w:t>
            </w:r>
            <w:r w:rsidRPr="00B339E6">
              <w:rPr>
                <w:color w:val="0F172B"/>
                <w:lang w:val="fi-FI"/>
              </w:rPr>
              <w:t>soveltaa myös rahavirran suojausta osaan korkojohdannaisistaan.</w:t>
            </w:r>
          </w:p>
          <w:p w:rsidR="00030F0B" w:rsidRPr="00B339E6" w14:paraId="55387F29" w14:textId="77777777">
            <w:pPr>
              <w:pStyle w:val="Bodytext2"/>
              <w:rPr>
                <w:rFonts w:eastAsiaTheme="minorEastAsia"/>
                <w:color w:val="0F172B"/>
                <w:lang w:val="fi-FI" w:eastAsia="fi-FI"/>
              </w:rPr>
            </w:pPr>
          </w:p>
          <w:p w:rsidR="00030F0B" w:rsidRPr="00B339E6" w14:paraId="737319CA" w14:textId="4FC72269">
            <w:pPr>
              <w:pStyle w:val="Bodytext2"/>
              <w:rPr>
                <w:rFonts w:eastAsiaTheme="minorEastAsia"/>
                <w:lang w:val="fi-FI" w:eastAsia="fi-FI"/>
              </w:rPr>
            </w:pPr>
            <w:r w:rsidRPr="00AC21B7">
              <w:rPr>
                <w:lang w:val="fi-FI"/>
              </w:rPr>
              <w:t xml:space="preserve">Konserni </w:t>
            </w:r>
            <w:r w:rsidRPr="00AC21B7">
              <w:rPr>
                <w:lang w:val="fi-FI"/>
              </w:rPr>
              <w:t>dokumentoi suojausjärjestelyn alussa kunkin suojausinstrumentin ja suojatun omaisuuserän välisen suhteen sekä riskinhallintatavoitteen ja siihen sovelle</w:t>
            </w:r>
            <w:r>
              <w:rPr>
                <w:lang w:val="fi-FI"/>
              </w:rPr>
              <w:t>ttava</w:t>
            </w:r>
            <w:r w:rsidRPr="00AC21B7">
              <w:rPr>
                <w:lang w:val="fi-FI"/>
              </w:rPr>
              <w:t xml:space="preserve">n strategian. </w:t>
            </w:r>
            <w:r w:rsidRPr="00B339E6">
              <w:rPr>
                <w:lang w:val="fi-FI"/>
              </w:rPr>
              <w:t>Tämän prosessin kautta suojausinstrumentti kytketään siihen liittyviin varoihin ja ve</w:t>
            </w:r>
            <w:r w:rsidRPr="00B339E6">
              <w:rPr>
                <w:lang w:val="fi-FI"/>
              </w:rPr>
              <w:t>lkoihin, ennakoituihin liiketapahtumiin tai sitoviin sopimuksiin.</w:t>
            </w:r>
          </w:p>
          <w:p w:rsidR="00030F0B" w:rsidRPr="00B339E6" w14:paraId="21B148AE" w14:textId="77777777">
            <w:pPr>
              <w:pStyle w:val="Bodytext2"/>
              <w:rPr>
                <w:rFonts w:eastAsiaTheme="minorEastAsia"/>
                <w:color w:val="0F172B"/>
                <w:lang w:val="fi-FI" w:eastAsia="fi-FI"/>
              </w:rPr>
            </w:pPr>
          </w:p>
          <w:p w:rsidR="00030F0B" w:rsidRPr="00F4153D" w14:paraId="293DFD13" w14:textId="2276B957">
            <w:pPr>
              <w:pStyle w:val="Bodytext2"/>
              <w:rPr>
                <w:rFonts w:eastAsiaTheme="minorEastAsia"/>
                <w:color w:val="0F172B"/>
                <w:lang w:val="fi-FI" w:eastAsia="fi-FI"/>
              </w:rPr>
            </w:pPr>
            <w:r w:rsidRPr="00F4153D">
              <w:rPr>
                <w:color w:val="0F172B"/>
                <w:lang w:val="fi-FI"/>
              </w:rPr>
              <w:t xml:space="preserve">Wärtsilä </w:t>
            </w:r>
            <w:r w:rsidRPr="00F4153D" w:rsidR="001B28EB">
              <w:rPr>
                <w:color w:val="0F172B"/>
                <w:lang w:val="fi-FI"/>
              </w:rPr>
              <w:t>määritt</w:t>
            </w:r>
            <w:r w:rsidR="00D75939">
              <w:rPr>
                <w:color w:val="0F172B"/>
                <w:lang w:val="fi-FI"/>
              </w:rPr>
              <w:t>ää</w:t>
            </w:r>
            <w:r w:rsidRPr="00F4153D" w:rsidR="001B28EB">
              <w:rPr>
                <w:color w:val="0F172B"/>
                <w:lang w:val="fi-FI"/>
              </w:rPr>
              <w:t xml:space="preserve"> </w:t>
            </w:r>
            <w:r w:rsidRPr="00F4153D" w:rsidR="00F4153D">
              <w:rPr>
                <w:color w:val="0F172B"/>
                <w:lang w:val="fi-FI"/>
              </w:rPr>
              <w:t xml:space="preserve">valuuttajohdannaisten </w:t>
            </w:r>
            <w:r w:rsidRPr="00F4153D" w:rsidR="001B28EB">
              <w:rPr>
                <w:color w:val="0F172B"/>
                <w:lang w:val="fi-FI"/>
              </w:rPr>
              <w:t xml:space="preserve">suojaussuhteet </w:t>
            </w:r>
            <w:r w:rsidRPr="00F4153D" w:rsidR="00F4153D">
              <w:rPr>
                <w:color w:val="0F172B"/>
                <w:lang w:val="fi-FI"/>
              </w:rPr>
              <w:t xml:space="preserve">joko </w:t>
            </w:r>
            <w:r w:rsidR="00F4153D">
              <w:rPr>
                <w:color w:val="0F172B"/>
                <w:lang w:val="fi-FI"/>
              </w:rPr>
              <w:t xml:space="preserve">erittäin todennäköisen ennakoidun liiketoimen suojaksi tai </w:t>
            </w:r>
            <w:r w:rsidRPr="00F4153D" w:rsidR="00F4153D">
              <w:rPr>
                <w:color w:val="0F172B"/>
                <w:lang w:val="fi-FI"/>
              </w:rPr>
              <w:t>kiinteäehtoise</w:t>
            </w:r>
            <w:r w:rsidR="00F4153D">
              <w:rPr>
                <w:color w:val="0F172B"/>
                <w:lang w:val="fi-FI"/>
              </w:rPr>
              <w:t>n</w:t>
            </w:r>
            <w:r w:rsidRPr="00F4153D" w:rsidR="00F4153D">
              <w:rPr>
                <w:color w:val="0F172B"/>
                <w:lang w:val="fi-FI"/>
              </w:rPr>
              <w:t xml:space="preserve"> si</w:t>
            </w:r>
            <w:r w:rsidR="00F4153D">
              <w:rPr>
                <w:color w:val="0F172B"/>
                <w:lang w:val="fi-FI"/>
              </w:rPr>
              <w:t>toumuksen suojaksi</w:t>
            </w:r>
            <w:r w:rsidRPr="00F4153D">
              <w:rPr>
                <w:color w:val="0F172B"/>
                <w:lang w:val="fi-FI"/>
              </w:rPr>
              <w:t>.</w:t>
            </w:r>
          </w:p>
          <w:p w:rsidR="00030F0B" w:rsidRPr="00F4153D" w14:paraId="4A228EC7" w14:textId="77777777">
            <w:pPr>
              <w:pStyle w:val="Bodytext2"/>
              <w:rPr>
                <w:rFonts w:eastAsiaTheme="minorEastAsia"/>
                <w:color w:val="0F172B"/>
                <w:lang w:val="fi-FI" w:eastAsia="fi-FI"/>
              </w:rPr>
            </w:pPr>
          </w:p>
          <w:p w:rsidR="00030F0B" w:rsidRPr="00D75939" w14:paraId="2ACC5012" w14:textId="7F6CBEE9">
            <w:pPr>
              <w:pStyle w:val="Bodytext2"/>
              <w:rPr>
                <w:color w:val="0F172B"/>
                <w:lang w:val="fi-FI"/>
              </w:rPr>
            </w:pPr>
            <w:r w:rsidRPr="00185E42">
              <w:rPr>
                <w:color w:val="0F172B"/>
                <w:lang w:val="fi-FI"/>
              </w:rPr>
              <w:t>Konserni käyttää</w:t>
            </w:r>
            <w:r w:rsidRPr="00185E42" w:rsidR="00185E42">
              <w:rPr>
                <w:color w:val="0F172B"/>
                <w:lang w:val="fi-FI"/>
              </w:rPr>
              <w:t xml:space="preserve"> </w:t>
            </w:r>
            <w:r w:rsidR="00D75939">
              <w:rPr>
                <w:color w:val="0F172B"/>
                <w:lang w:val="fi-FI"/>
              </w:rPr>
              <w:t>määritettyjä suojia</w:t>
            </w:r>
            <w:r w:rsidR="00185E42">
              <w:rPr>
                <w:color w:val="0F172B"/>
                <w:lang w:val="fi-FI"/>
              </w:rPr>
              <w:t xml:space="preserve"> valuuttajohdannaisiin, joissa </w:t>
            </w:r>
            <w:r w:rsidR="00814679">
              <w:rPr>
                <w:color w:val="0F172B"/>
                <w:lang w:val="fi-FI"/>
              </w:rPr>
              <w:t xml:space="preserve">suojausinstrumentin ja suojauskohteen </w:t>
            </w:r>
            <w:r w:rsidR="00185E42">
              <w:rPr>
                <w:color w:val="0F172B"/>
                <w:lang w:val="fi-FI"/>
              </w:rPr>
              <w:t>keskeiset ehdot täsmäävät</w:t>
            </w:r>
            <w:r w:rsidR="00814679">
              <w:rPr>
                <w:color w:val="0F172B"/>
                <w:lang w:val="fi-FI"/>
              </w:rPr>
              <w:t xml:space="preserve"> tai lähes täsmäävät. </w:t>
            </w:r>
            <w:r w:rsidRPr="00B339E6" w:rsidR="00814679">
              <w:rPr>
                <w:color w:val="0F172B"/>
                <w:lang w:val="fi-FI"/>
              </w:rPr>
              <w:t xml:space="preserve">Suojausaste on yleensä 100%. </w:t>
            </w:r>
            <w:r w:rsidRPr="00814679" w:rsidR="00814679">
              <w:rPr>
                <w:color w:val="0F172B"/>
                <w:lang w:val="fi-FI"/>
              </w:rPr>
              <w:t xml:space="preserve">Koska alla olevat riskit täsmäävät, suojausinstrumenttien katsotaan kumoavan kaikki </w:t>
            </w:r>
            <w:r w:rsidR="00DD46EF">
              <w:rPr>
                <w:color w:val="0F172B"/>
                <w:lang w:val="fi-FI"/>
              </w:rPr>
              <w:t xml:space="preserve">suojattuihin liiketoimiin liittyvät </w:t>
            </w:r>
            <w:r w:rsidRPr="00814679" w:rsidR="00814679">
              <w:rPr>
                <w:color w:val="0F172B"/>
                <w:lang w:val="fi-FI"/>
              </w:rPr>
              <w:t>m</w:t>
            </w:r>
            <w:r w:rsidR="00814679">
              <w:rPr>
                <w:color w:val="0F172B"/>
                <w:lang w:val="fi-FI"/>
              </w:rPr>
              <w:t>uutokset</w:t>
            </w:r>
            <w:r w:rsidR="00DD46EF">
              <w:rPr>
                <w:color w:val="0F172B"/>
                <w:lang w:val="fi-FI"/>
              </w:rPr>
              <w:t xml:space="preserve">. </w:t>
            </w:r>
            <w:r w:rsidRPr="00F71631" w:rsidR="00DD46EF">
              <w:rPr>
                <w:color w:val="0F172B"/>
                <w:lang w:val="fi-FI"/>
              </w:rPr>
              <w:t xml:space="preserve">Wärtsilä tunnistaa, että </w:t>
            </w:r>
            <w:r w:rsidRPr="00F71631" w:rsidR="00F71631">
              <w:rPr>
                <w:color w:val="0F172B"/>
                <w:lang w:val="fi-FI"/>
              </w:rPr>
              <w:t xml:space="preserve">suojattujen liiketoimien viivästymiset tai peruuntumiset </w:t>
            </w:r>
            <w:r w:rsidR="00F71631">
              <w:rPr>
                <w:color w:val="0F172B"/>
                <w:lang w:val="fi-FI"/>
              </w:rPr>
              <w:t xml:space="preserve">saattavat aiheuttaa </w:t>
            </w:r>
            <w:r w:rsidRPr="00F71631" w:rsidR="00DD46EF">
              <w:rPr>
                <w:color w:val="0F172B"/>
                <w:lang w:val="fi-FI"/>
              </w:rPr>
              <w:t>tehott</w:t>
            </w:r>
            <w:r w:rsidR="00F71631">
              <w:rPr>
                <w:color w:val="0F172B"/>
                <w:lang w:val="fi-FI"/>
              </w:rPr>
              <w:t xml:space="preserve">omuutta. Wärtsilä kuitenkin soveltaa </w:t>
            </w:r>
            <w:r w:rsidR="007C2B24">
              <w:rPr>
                <w:color w:val="0F172B"/>
                <w:lang w:val="fi-FI"/>
              </w:rPr>
              <w:t>jatko</w:t>
            </w:r>
            <w:r w:rsidR="00F71631">
              <w:rPr>
                <w:color w:val="0F172B"/>
                <w:lang w:val="fi-FI"/>
              </w:rPr>
              <w:t>strategiaa, j</w:t>
            </w:r>
            <w:r w:rsidR="007C2B24">
              <w:rPr>
                <w:color w:val="0F172B"/>
                <w:lang w:val="fi-FI"/>
              </w:rPr>
              <w:t>onka mukaan</w:t>
            </w:r>
            <w:r w:rsidR="00F71631">
              <w:rPr>
                <w:color w:val="0F172B"/>
                <w:lang w:val="fi-FI"/>
              </w:rPr>
              <w:t xml:space="preserve"> johdannaisia jatketaan tai päätetään </w:t>
            </w:r>
            <w:r w:rsidR="007C2B24">
              <w:rPr>
                <w:color w:val="0F172B"/>
                <w:lang w:val="fi-FI"/>
              </w:rPr>
              <w:t xml:space="preserve">ennenaikaisesti, jotta alla olevat liiketoimet saadaan täsmäämään. </w:t>
            </w:r>
            <w:r w:rsidR="004F0A14">
              <w:rPr>
                <w:color w:val="0F172B"/>
                <w:lang w:val="fi-FI"/>
              </w:rPr>
              <w:t>Suojauksen tehokkuutta koskevia vaatimuksia arvioidaan IFRS 9:n vaatimusten mukaisesti huomioiden vaatimukset taloudellise</w:t>
            </w:r>
            <w:r w:rsidR="00D75939">
              <w:rPr>
                <w:color w:val="0F172B"/>
                <w:lang w:val="fi-FI"/>
              </w:rPr>
              <w:t>en suhteeseen</w:t>
            </w:r>
            <w:r w:rsidR="004F0A14">
              <w:rPr>
                <w:color w:val="0F172B"/>
                <w:lang w:val="fi-FI"/>
              </w:rPr>
              <w:t>, luottoriski</w:t>
            </w:r>
            <w:r w:rsidR="00D75939">
              <w:rPr>
                <w:color w:val="0F172B"/>
                <w:lang w:val="fi-FI"/>
              </w:rPr>
              <w:t>in ja suojausasteeseen liittyen.</w:t>
            </w:r>
          </w:p>
          <w:p w:rsidR="00030F0B" w:rsidRPr="00D75939" w14:paraId="7B288BF7" w14:textId="77777777">
            <w:pPr>
              <w:pStyle w:val="Bodytext2"/>
              <w:rPr>
                <w:rFonts w:eastAsiaTheme="minorEastAsia"/>
                <w:color w:val="0F172B"/>
                <w:lang w:val="fi-FI" w:eastAsia="fi-FI"/>
              </w:rPr>
            </w:pPr>
          </w:p>
          <w:p w:rsidR="00030F0B" w:rsidRPr="004A206B" w14:paraId="5D8E833B" w14:textId="217F3718">
            <w:pPr>
              <w:pStyle w:val="Bodytext2"/>
              <w:rPr>
                <w:rFonts w:eastAsiaTheme="minorEastAsia"/>
                <w:color w:val="0F172B"/>
                <w:lang w:val="fi-FI" w:eastAsia="fi-FI"/>
              </w:rPr>
            </w:pPr>
            <w:r w:rsidRPr="004A206B">
              <w:rPr>
                <w:color w:val="0F172B"/>
                <w:lang w:val="fi-FI"/>
              </w:rPr>
              <w:t xml:space="preserve">Ulkopuoliset suojaukset </w:t>
            </w:r>
            <w:r w:rsidRPr="004A206B">
              <w:rPr>
                <w:color w:val="0F172B"/>
                <w:lang w:val="fi-FI"/>
              </w:rPr>
              <w:t xml:space="preserve">tehdään tyypillisesti lyhyillä maturiteeteilla (enintään yksi vuosi) ja käyttäen vain korkean luottoluokituksen (A- vähimmäisluottoluokkavaatimus) vastapuolia, </w:t>
            </w:r>
            <w:r>
              <w:rPr>
                <w:color w:val="0F172B"/>
                <w:lang w:val="fi-FI"/>
              </w:rPr>
              <w:t xml:space="preserve">joten </w:t>
            </w:r>
            <w:r w:rsidRPr="004A206B">
              <w:rPr>
                <w:color w:val="0F172B"/>
                <w:lang w:val="fi-FI"/>
              </w:rPr>
              <w:t>vastapuoliriskillä on vähäinen vaikutus suojien markkina-arvon määrittämiseen. Koska joidenkin suojattavien rahavirtojen maturiteetti on pidempi kuin niitä suojaavien instrumenttien, suojausten ja alla</w:t>
            </w:r>
            <w:r w:rsidR="00814679">
              <w:rPr>
                <w:color w:val="0F172B"/>
                <w:lang w:val="fi-FI"/>
              </w:rPr>
              <w:t xml:space="preserve"> </w:t>
            </w:r>
            <w:r w:rsidRPr="004A206B">
              <w:rPr>
                <w:color w:val="0F172B"/>
                <w:lang w:val="fi-FI"/>
              </w:rPr>
              <w:t>olevien rahavirtojen nykyarvo</w:t>
            </w:r>
            <w:r>
              <w:rPr>
                <w:color w:val="0F172B"/>
                <w:lang w:val="fi-FI"/>
              </w:rPr>
              <w:t>je</w:t>
            </w:r>
            <w:r w:rsidRPr="004A206B">
              <w:rPr>
                <w:color w:val="0F172B"/>
                <w:lang w:val="fi-FI"/>
              </w:rPr>
              <w:t xml:space="preserve">n muutokset eivät aina </w:t>
            </w:r>
            <w:r w:rsidRPr="004A206B">
              <w:rPr>
                <w:color w:val="0F172B"/>
                <w:lang w:val="fi-FI"/>
              </w:rPr>
              <w:t xml:space="preserve">täysin </w:t>
            </w:r>
            <w:r>
              <w:rPr>
                <w:color w:val="0F172B"/>
                <w:lang w:val="fi-FI"/>
              </w:rPr>
              <w:t>kumoa</w:t>
            </w:r>
            <w:r w:rsidRPr="004A206B">
              <w:rPr>
                <w:color w:val="0F172B"/>
                <w:lang w:val="fi-FI"/>
              </w:rPr>
              <w:t xml:space="preserve"> toisiaan suojauksen elinaikana. Maturiteettierosta johtuva tehottomuus lasketaan vuosineljänneksittäin ja kirjataan rahoituseriin.</w:t>
            </w:r>
          </w:p>
          <w:p w:rsidR="00030F0B" w:rsidRPr="004A206B" w14:paraId="3F4D5C0E" w14:textId="77777777">
            <w:pPr>
              <w:pStyle w:val="Bodytext2"/>
              <w:rPr>
                <w:rFonts w:eastAsiaTheme="minorEastAsia"/>
                <w:color w:val="0F172B"/>
                <w:lang w:val="fi-FI" w:eastAsia="fi-FI"/>
              </w:rPr>
            </w:pPr>
          </w:p>
          <w:p w:rsidR="00030F0B" w:rsidRPr="00B339E6" w14:paraId="15D154F6" w14:textId="139178DB">
            <w:pPr>
              <w:pStyle w:val="Heading13"/>
              <w:rPr>
                <w:rFonts w:eastAsiaTheme="minorEastAsia" w:cstheme="minorHAnsi"/>
                <w:lang w:val="fi-FI" w:eastAsia="fi-FI"/>
              </w:rPr>
            </w:pPr>
            <w:r w:rsidRPr="00B339E6">
              <w:rPr>
                <w:lang w:val="fi-FI"/>
              </w:rPr>
              <w:t>Rahavirran suojaaminen</w:t>
            </w:r>
          </w:p>
          <w:p w:rsidR="00030F0B" w:rsidRPr="00B339E6" w14:paraId="1AB52CF9" w14:textId="0A68330F">
            <w:pPr>
              <w:pStyle w:val="Bodytext2"/>
              <w:rPr>
                <w:rFonts w:eastAsiaTheme="minorEastAsia"/>
                <w:color w:val="auto"/>
                <w:lang w:val="fi-FI" w:eastAsia="fi-FI"/>
              </w:rPr>
            </w:pPr>
            <w:r>
              <w:rPr>
                <w:lang w:val="fi-FI"/>
              </w:rPr>
              <w:t xml:space="preserve">Jos </w:t>
            </w:r>
            <w:r w:rsidRPr="00FB15C0" w:rsidR="00FB15C0">
              <w:rPr>
                <w:lang w:val="fi-FI"/>
              </w:rPr>
              <w:t>johdannais</w:t>
            </w:r>
            <w:r>
              <w:rPr>
                <w:lang w:val="fi-FI"/>
              </w:rPr>
              <w:t>s</w:t>
            </w:r>
            <w:r w:rsidRPr="00FB15C0" w:rsidR="00FB15C0">
              <w:rPr>
                <w:lang w:val="fi-FI"/>
              </w:rPr>
              <w:t>opimu</w:t>
            </w:r>
            <w:r>
              <w:rPr>
                <w:lang w:val="fi-FI"/>
              </w:rPr>
              <w:t>s</w:t>
            </w:r>
            <w:r w:rsidRPr="00FB15C0" w:rsidR="00FB15C0">
              <w:rPr>
                <w:lang w:val="fi-FI"/>
              </w:rPr>
              <w:t xml:space="preserve"> on m</w:t>
            </w:r>
            <w:r w:rsidR="00FB15C0">
              <w:rPr>
                <w:lang w:val="fi-FI"/>
              </w:rPr>
              <w:t xml:space="preserve">ääritetty </w:t>
            </w:r>
            <w:r>
              <w:rPr>
                <w:lang w:val="fi-FI"/>
              </w:rPr>
              <w:t>rahavirtaa suojaavaksi ja se täyttää rahavirtasuojan</w:t>
            </w:r>
            <w:r>
              <w:rPr>
                <w:lang w:val="fi-FI"/>
              </w:rPr>
              <w:t xml:space="preserve"> vaatimukset, siihen liittyvät käyvän arvon muutokset </w:t>
            </w:r>
            <w:r w:rsidRPr="00FB15C0">
              <w:rPr>
                <w:lang w:val="fi-FI"/>
              </w:rPr>
              <w:t>kirjataan muihin laajan tuloksen eriin</w:t>
            </w:r>
            <w:r>
              <w:rPr>
                <w:lang w:val="fi-FI"/>
              </w:rPr>
              <w:t xml:space="preserve">, jotka </w:t>
            </w:r>
            <w:r w:rsidRPr="00FB15C0">
              <w:rPr>
                <w:lang w:val="fi-FI"/>
              </w:rPr>
              <w:t>esitetään oman pääoman arvonmuutosrahastossa, mikäli suojaus on tehokas.</w:t>
            </w:r>
            <w:r>
              <w:rPr>
                <w:lang w:val="fi-FI"/>
              </w:rPr>
              <w:t xml:space="preserve"> </w:t>
            </w:r>
            <w:r w:rsidRPr="00EE07C5">
              <w:rPr>
                <w:lang w:val="fi-FI"/>
              </w:rPr>
              <w:t>Valuuttatermiinien osalta spot-osuus sisältyy suojaussuhteeseen, kun termiinipistee</w:t>
            </w:r>
            <w:r w:rsidRPr="00EE07C5">
              <w:rPr>
                <w:lang w:val="fi-FI"/>
              </w:rPr>
              <w:t>t on j</w:t>
            </w:r>
            <w:r>
              <w:rPr>
                <w:lang w:val="fi-FI"/>
              </w:rPr>
              <w:t>ätetty suojan määrittämisen ulkopuolelle.</w:t>
            </w:r>
            <w:r w:rsidR="007F6626">
              <w:rPr>
                <w:lang w:val="fi-FI"/>
              </w:rPr>
              <w:t xml:space="preserve"> </w:t>
            </w:r>
            <w:r w:rsidRPr="007F6626" w:rsidR="007F6626">
              <w:rPr>
                <w:lang w:val="fi-FI"/>
              </w:rPr>
              <w:t xml:space="preserve">Muiden laajan tuloksen erien kautta johdannaisiin liittyvään arvonmuutosrahastoon kertynyt voitto tai tappio esitetään samalla </w:t>
            </w:r>
            <w:r>
              <w:rPr>
                <w:lang w:val="fi-FI"/>
              </w:rPr>
              <w:t>raportointi</w:t>
            </w:r>
            <w:r w:rsidRPr="007F6626" w:rsidR="007F6626">
              <w:rPr>
                <w:lang w:val="fi-FI"/>
              </w:rPr>
              <w:t xml:space="preserve">kaudella kuin suojattuihin velvoitteisiin tai ennusteisiin liittyvät tapahtumat, esimerkiksi myynnin tai ostojen oikaisuna. Suojauksesta johtuvan voiton tai tappion tehoton osuus kirjataan välittömästi tulosvaikutteisesti </w:t>
            </w:r>
            <w:r>
              <w:rPr>
                <w:lang w:val="fi-FI"/>
              </w:rPr>
              <w:t>raportointi</w:t>
            </w:r>
            <w:r w:rsidRPr="007F6626" w:rsidR="007F6626">
              <w:rPr>
                <w:lang w:val="fi-FI"/>
              </w:rPr>
              <w:t xml:space="preserve">kauden aikana. </w:t>
            </w:r>
            <w:r w:rsidRPr="00B339E6" w:rsidR="007F6626">
              <w:rPr>
                <w:lang w:val="fi-FI"/>
              </w:rPr>
              <w:t>Korkoerosta johtuvat valuuttatermiinien käyvän arvon muutokset kirjataan</w:t>
            </w:r>
            <w:r>
              <w:rPr>
                <w:lang w:val="fi-FI"/>
              </w:rPr>
              <w:t xml:space="preserve"> </w:t>
            </w:r>
            <w:r w:rsidRPr="00B339E6" w:rsidR="007F6626">
              <w:rPr>
                <w:lang w:val="fi-FI"/>
              </w:rPr>
              <w:t>tuloslaskelmaan.</w:t>
            </w:r>
          </w:p>
          <w:p w:rsidR="00030F0B" w:rsidRPr="00B339E6" w14:paraId="338B0A80" w14:textId="77777777">
            <w:pPr>
              <w:pStyle w:val="Bodytext2"/>
              <w:rPr>
                <w:rFonts w:eastAsiaTheme="minorEastAsia"/>
                <w:color w:val="0F172B"/>
                <w:lang w:val="fi-FI" w:eastAsia="fi-FI"/>
              </w:rPr>
            </w:pPr>
          </w:p>
          <w:p w:rsidR="00030F0B" w:rsidRPr="00FB15C0" w14:paraId="781E9342" w14:textId="7B84D5F6">
            <w:pPr>
              <w:pStyle w:val="Bodytext2"/>
              <w:rPr>
                <w:rFonts w:eastAsiaTheme="minorEastAsia"/>
                <w:color w:val="0F172B"/>
                <w:lang w:val="fi-FI" w:eastAsia="fi-FI"/>
              </w:rPr>
            </w:pPr>
            <w:r w:rsidRPr="00275510">
              <w:rPr>
                <w:color w:val="0F172B"/>
                <w:lang w:val="fi-FI"/>
              </w:rPr>
              <w:t>Lisätietoja rahavirtasuojausten käypien arvojen muutoksista</w:t>
            </w:r>
            <w:r w:rsidRPr="00275510" w:rsidR="007F6626">
              <w:rPr>
                <w:color w:val="0F172B"/>
                <w:lang w:val="fi-FI"/>
              </w:rPr>
              <w:t xml:space="preserve"> </w:t>
            </w:r>
            <w:r w:rsidRPr="00275510">
              <w:rPr>
                <w:color w:val="0F172B"/>
                <w:lang w:val="fi-FI"/>
              </w:rPr>
              <w:t>es</w:t>
            </w:r>
            <w:r>
              <w:rPr>
                <w:color w:val="0F172B"/>
                <w:lang w:val="fi-FI"/>
              </w:rPr>
              <w:t>itetään liitetiedossa</w:t>
            </w:r>
            <w:r w:rsidRPr="00275510" w:rsidR="007F6626">
              <w:rPr>
                <w:color w:val="0F172B"/>
                <w:lang w:val="fi-FI"/>
              </w:rPr>
              <w:t xml:space="preserve"> 5.5. </w:t>
            </w:r>
            <w:r w:rsidRPr="00FB15C0">
              <w:rPr>
                <w:color w:val="0F172B"/>
                <w:lang w:val="fi-FI"/>
              </w:rPr>
              <w:t>Oma pääoma</w:t>
            </w:r>
            <w:r w:rsidRPr="00FB15C0" w:rsidR="007F6626">
              <w:rPr>
                <w:color w:val="0F172B"/>
                <w:lang w:val="fi-FI"/>
              </w:rPr>
              <w:t xml:space="preserve">, </w:t>
            </w:r>
            <w:r w:rsidRPr="00FB15C0">
              <w:rPr>
                <w:color w:val="0F172B"/>
                <w:lang w:val="fi-FI"/>
              </w:rPr>
              <w:t xml:space="preserve">ja lisätietoja </w:t>
            </w:r>
            <w:r w:rsidRPr="00FB15C0" w:rsidR="00FB15C0">
              <w:rPr>
                <w:color w:val="0F172B"/>
                <w:lang w:val="fi-FI"/>
              </w:rPr>
              <w:t>rahavirtasuojausten tehottomasta osuudesta es</w:t>
            </w:r>
            <w:r w:rsidR="00FB15C0">
              <w:rPr>
                <w:color w:val="0F172B"/>
                <w:lang w:val="fi-FI"/>
              </w:rPr>
              <w:t>itetään liitetiedossa</w:t>
            </w:r>
            <w:r w:rsidRPr="00FB15C0" w:rsidR="007F6626">
              <w:rPr>
                <w:color w:val="0F172B"/>
                <w:lang w:val="fi-FI"/>
              </w:rPr>
              <w:t xml:space="preserve"> 5.1. </w:t>
            </w:r>
            <w:r w:rsidR="00FB15C0">
              <w:rPr>
                <w:color w:val="0F172B"/>
                <w:lang w:val="fi-FI"/>
              </w:rPr>
              <w:t>Rahoitustuotot ja -kulut</w:t>
            </w:r>
            <w:r w:rsidRPr="00FB15C0" w:rsidR="007F6626">
              <w:rPr>
                <w:color w:val="0F172B"/>
                <w:lang w:val="fi-FI"/>
              </w:rPr>
              <w:t>.</w:t>
            </w:r>
          </w:p>
        </w:tc>
      </w:tr>
    </w:tbl>
    <w:p w:rsidR="00030F0B" w:rsidRPr="00FB15C0" w:rsidP="00030F0B" w14:paraId="66DC2002" w14:textId="77777777">
      <w:pPr>
        <w:pStyle w:val="Bodytext2"/>
        <w:rPr>
          <w:color w:val="0F172B"/>
          <w:lang w:val="fi-FI"/>
        </w:rPr>
      </w:pPr>
    </w:p>
    <w:p w:rsidR="00030F0B" w:rsidRPr="002B09EE" w:rsidP="00030F0B" w14:paraId="25C4C897" w14:textId="07595C57">
      <w:pPr>
        <w:pStyle w:val="Bodytext2"/>
        <w:rPr>
          <w:color w:val="0F172B"/>
          <w:lang w:val="fi-FI"/>
        </w:rPr>
      </w:pPr>
      <w:bookmarkStart w:id="1153" w:name="_Hlk49249124"/>
      <w:r w:rsidRPr="002B09EE">
        <w:rPr>
          <w:color w:val="0F172B"/>
          <w:lang w:val="fi-FI"/>
        </w:rPr>
        <w:t>Konserni soveltaa suojauslaskentaa enemmistöön valuuttatermiineistä.</w:t>
      </w:r>
    </w:p>
    <w:p w:rsidR="00030F0B" w:rsidRPr="002B09EE" w:rsidP="00030F0B" w14:paraId="095016DC" w14:textId="77777777">
      <w:pPr>
        <w:pStyle w:val="Bodytext2"/>
        <w:rPr>
          <w:color w:val="0F172B"/>
          <w:lang w:val="fi-FI"/>
        </w:rPr>
      </w:pPr>
    </w:p>
    <w:p w:rsidR="00030F0B" w:rsidRPr="00030F0B" w:rsidP="00030F0B" w14:paraId="6089ACC5" w14:textId="358FCE85">
      <w:pPr>
        <w:pStyle w:val="Bodytext2"/>
        <w:rPr>
          <w:color w:val="0F172B"/>
          <w:lang w:val="fi-FI"/>
        </w:rPr>
      </w:pPr>
      <w:r w:rsidRPr="00030F0B">
        <w:rPr>
          <w:color w:val="0F172B"/>
          <w:lang w:val="fi-FI"/>
        </w:rPr>
        <w:t>Avoimet operatiiviset valuuttapositiot sisältäen rahoituksen suojataan johdannaisilla alla olevan mukaisesti.</w:t>
      </w:r>
    </w:p>
    <w:p w:rsidR="00030F0B" w:rsidRPr="00030F0B" w:rsidP="00030F0B" w14:paraId="1CB5D9E9" w14:textId="77777777">
      <w:pPr>
        <w:pStyle w:val="Bodytext2"/>
        <w:rPr>
          <w:color w:val="0F172B"/>
          <w:lang w:val="fi-FI"/>
        </w:rPr>
      </w:pPr>
    </w:p>
    <w:p w:rsidR="00030F0B" w:rsidP="00030F0B" w14:paraId="0775790B" w14:textId="7C71E586">
      <w:pPr>
        <w:pStyle w:val="Heading13"/>
        <w:rPr>
          <w:color w:val="auto"/>
        </w:rPr>
      </w:pPr>
      <w:r>
        <w:t>Valuuttatermiinit</w:t>
      </w:r>
    </w:p>
    <w:p w:rsidR="00030F0B" w:rsidP="00030F0B" w14:paraId="40B153B8" w14:textId="77777777">
      <w:pPr>
        <w:pStyle w:val="Bodytext2"/>
      </w:pPr>
    </w:p>
    <w:tbl>
      <w:tblPr>
        <w:tblStyle w:val="TableNormal"/>
        <w:tblCaption w:val="table_58_currency_forward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hRule="exact" w:val="240"/>
        </w:trPr>
        <w:tc>
          <w:tcPr>
            <w:tcW w:w="213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Kiinteä-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hintaisia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osto-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myyntiso-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pimuksia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vasten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nettona</w:t>
            </w:r>
          </w:p>
        </w:tc>
        <w:tc>
          <w:tcPr>
            <w:tcW w:w="870" w:type="dxa"/>
            <w:tcBorders>
              <w:top w:val="nil"/>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velkoja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vasten</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Kiinteä-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hintaisia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osto-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myyntiso-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pimuksia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vasten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nettona</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velkoja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vasten</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292</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287</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NOK</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396</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CHF</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CNY</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107</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AUD</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MXN</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SGD</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SEK</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CAD</w:t>
            </w:r>
          </w:p>
        </w:tc>
        <w:tc>
          <w:tcPr>
            <w:tcW w:w="870" w:type="dxa"/>
            <w:tcBorders>
              <w:top w:val="single" w:sz="4" w:space="0" w:color="004A6B"/>
              <w:left w:val="nil"/>
              <w:bottom w:val="single" w:sz="4" w:space="0" w:color="004A6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valuutat*</w:t>
            </w:r>
          </w:p>
        </w:tc>
        <w:tc>
          <w:tcPr>
            <w:tcW w:w="870" w:type="dxa"/>
            <w:tcBorders>
              <w:top w:val="single" w:sz="4" w:space="0" w:color="004A6B"/>
              <w:left w:val="nil"/>
              <w:bottom w:val="single" w:sz="8" w:space="0" w:color="0F172B"/>
              <w:right w:val="nil"/>
              <w:tl2br w:val="nil"/>
              <w:tr2bl w:val="nil"/>
            </w:tcBorders>
            <w:shd w:val="clear" w:color="FFFFFF" w:fill="FFFFFF"/>
            <w:noWrap/>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120</w:t>
            </w:r>
          </w:p>
        </w:tc>
        <w:tc>
          <w:tcPr>
            <w:tcW w:w="870" w:type="dxa"/>
            <w:tcBorders>
              <w:top w:val="single" w:sz="4" w:space="0" w:color="004A6B"/>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67</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870" w:type="dxa"/>
            <w:gridSpan w:val="3"/>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Valuuttajohdannaiset yhteensä, netto</w:t>
            </w:r>
          </w:p>
        </w:tc>
        <w:tc>
          <w:tcPr>
            <w:tcW w:w="87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936</w:t>
            </w:r>
          </w:p>
        </w:tc>
        <w:tc>
          <w:tcPr>
            <w:tcW w:w="87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437</w:t>
            </w:r>
          </w:p>
        </w:tc>
        <w:tc>
          <w:tcPr>
            <w:tcW w:w="87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1 364</w:t>
            </w:r>
          </w:p>
        </w:tc>
        <w:tc>
          <w:tcPr>
            <w:tcW w:w="87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616</w:t>
            </w:r>
          </w:p>
        </w:tc>
      </w:tr>
    </w:tbl>
    <w:p w:rsidR="00030F0B" w:rsidP="00030F0B" w14:paraId="1882733A" w14:textId="77777777">
      <w:pPr>
        <w:pStyle w:val="Bodytext2"/>
      </w:pPr>
    </w:p>
    <w:p w:rsidR="002B09EE" w:rsidRPr="002B09EE" w:rsidP="002B09EE" w14:paraId="255F94C6" w14:textId="77777777">
      <w:pPr>
        <w:pStyle w:val="Bodytext2"/>
        <w:rPr>
          <w:lang w:val="fi-FI"/>
        </w:rPr>
      </w:pPr>
      <w:r w:rsidRPr="002B09EE">
        <w:rPr>
          <w:lang w:val="fi-FI"/>
        </w:rPr>
        <w:t>* Muut valuutat eivät sisällä merkittäviä yksittäisiä valuuttoja.</w:t>
      </w:r>
    </w:p>
    <w:p w:rsidR="002B09EE" w:rsidRPr="002B09EE" w:rsidP="002B09EE" w14:paraId="5EDB3C81" w14:textId="443CF1B8">
      <w:pPr>
        <w:pStyle w:val="Bodytext2"/>
        <w:rPr>
          <w:lang w:val="fi-FI"/>
        </w:rPr>
      </w:pPr>
    </w:p>
    <w:p w:rsidR="002B09EE" w:rsidRPr="002B09EE" w:rsidP="002B09EE" w14:paraId="1BAD1322" w14:textId="77777777">
      <w:pPr>
        <w:pStyle w:val="Bodytext2"/>
        <w:rPr>
          <w:lang w:val="fi-FI"/>
        </w:rPr>
      </w:pPr>
      <w:r w:rsidRPr="002B09EE">
        <w:rPr>
          <w:lang w:val="fi-FI"/>
        </w:rPr>
        <w:t>Nettovelat sisältävät emoyhtiön antamat ei-euromääräiset sisäiset lainat ja talletukset.</w:t>
      </w:r>
    </w:p>
    <w:p w:rsidR="002B09EE" w:rsidRPr="002B09EE" w:rsidP="002B09EE" w14:paraId="59C3B2E7" w14:textId="178C6179">
      <w:pPr>
        <w:pStyle w:val="Bodytext2"/>
        <w:rPr>
          <w:lang w:val="fi-FI"/>
        </w:rPr>
      </w:pPr>
    </w:p>
    <w:p w:rsidR="00030F0B" w:rsidRPr="002B09EE" w:rsidP="002B09EE" w14:paraId="5F8B3A3B" w14:textId="6F388249">
      <w:pPr>
        <w:pStyle w:val="Bodytext2"/>
        <w:rPr>
          <w:lang w:val="fi-FI"/>
        </w:rPr>
      </w:pPr>
      <w:r w:rsidRPr="002B09EE">
        <w:rPr>
          <w:lang w:val="fi-FI"/>
        </w:rPr>
        <w:t xml:space="preserve">IFRS:n mukaista suojauslaskentaa on sovellettu </w:t>
      </w:r>
      <w:r>
        <w:rPr>
          <w:lang w:val="fi-FI"/>
        </w:rPr>
        <w:t>1</w:t>
      </w:r>
      <w:r w:rsidRPr="002B09EE">
        <w:rPr>
          <w:lang w:val="fi-FI"/>
        </w:rPr>
        <w:t>.</w:t>
      </w:r>
      <w:r>
        <w:rPr>
          <w:lang w:val="fi-FI"/>
        </w:rPr>
        <w:t>861</w:t>
      </w:r>
      <w:r w:rsidRPr="002B09EE">
        <w:rPr>
          <w:lang w:val="fi-FI"/>
        </w:rPr>
        <w:t xml:space="preserve"> milj. euron (</w:t>
      </w:r>
      <w:r w:rsidRPr="002B09EE">
        <w:rPr>
          <w:lang w:val="fi-FI"/>
        </w:rPr>
        <w:t>2.</w:t>
      </w:r>
      <w:r>
        <w:rPr>
          <w:lang w:val="fi-FI"/>
        </w:rPr>
        <w:t>448</w:t>
      </w:r>
      <w:r w:rsidRPr="002B09EE">
        <w:rPr>
          <w:lang w:val="fi-FI"/>
        </w:rPr>
        <w:t xml:space="preserve">) arvosta valuuttatermiineihin. Viiden prosentin valuuttakurssiliikkeen vaikutus näiden johdannaisten arvostukseen aiheuttaisi noin </w:t>
      </w:r>
      <w:r>
        <w:rPr>
          <w:lang w:val="fi-FI"/>
        </w:rPr>
        <w:t>45</w:t>
      </w:r>
      <w:r w:rsidRPr="002B09EE">
        <w:rPr>
          <w:lang w:val="fi-FI"/>
        </w:rPr>
        <w:t xml:space="preserve"> milj. euron (</w:t>
      </w:r>
      <w:r>
        <w:rPr>
          <w:lang w:val="fi-FI"/>
        </w:rPr>
        <w:t>74</w:t>
      </w:r>
      <w:r w:rsidRPr="002B09EE">
        <w:rPr>
          <w:lang w:val="fi-FI"/>
        </w:rPr>
        <w:t>) muutoksen konsernin omaan pääomaan. Koska kaikki merkittävät kiinteähintaiset osto- ja myyntisopimu</w:t>
      </w:r>
      <w:r w:rsidRPr="002B09EE">
        <w:rPr>
          <w:lang w:val="fi-FI"/>
        </w:rPr>
        <w:t>kset on suojattu, operatiivisen toiminnan tuloksen herkkyys valuuttakurssimuutoksille (sisäinen rahoitus pois</w:t>
      </w:r>
      <w:r>
        <w:rPr>
          <w:lang w:val="fi-FI"/>
        </w:rPr>
        <w:t xml:space="preserve"> </w:t>
      </w:r>
      <w:r w:rsidRPr="002B09EE">
        <w:rPr>
          <w:lang w:val="fi-FI"/>
        </w:rPr>
        <w:t>lukien) oletetaan olevan vähäinen.</w:t>
      </w:r>
    </w:p>
    <w:p w:rsidR="00030F0B" w:rsidRPr="00116433" w:rsidP="00030F0B" w14:paraId="06E7B92C" w14:textId="77777777">
      <w:pPr>
        <w:pStyle w:val="Bodytext2"/>
        <w:rPr>
          <w:lang w:val="fi-FI"/>
        </w:rPr>
      </w:pPr>
    </w:p>
    <w:tbl>
      <w:tblPr>
        <w:tblStyle w:val="TableNormal"/>
        <w:tblCaption w:val="table_58_leg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870"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Brutto-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määrä</w:t>
            </w:r>
          </w:p>
        </w:tc>
        <w:tc>
          <w:tcPr>
            <w:tcW w:w="870" w:type="dxa"/>
            <w:tcBorders>
              <w:top w:val="nil"/>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määrä</w:t>
            </w:r>
          </w:p>
        </w:tc>
        <w:tc>
          <w:tcPr>
            <w:tcW w:w="870" w:type="dxa"/>
            <w:tcBorders>
              <w:top w:val="nil"/>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Vaikutus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pääomaan</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Brutto-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määrä</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määrä</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Vaikutus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omaan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pääomaan</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(molemmat valuutat huomioitu), joihin sovelletaan suojauslaskentaa*</w:t>
            </w:r>
          </w:p>
        </w:tc>
        <w:tc>
          <w:tcPr>
            <w:tcW w:w="870" w:type="dxa"/>
            <w:tcBorders>
              <w:top w:val="single" w:sz="8" w:space="0" w:color="0F172B"/>
              <w:left w:val="nil"/>
              <w:bottom w:val="single" w:sz="4" w:space="0" w:color="004A6B"/>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1 424</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123</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1 772</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83</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1 077</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295</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1 332</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640</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NOK</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803</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248</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1 202</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509</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GBP</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57</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128</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MXN</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128</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132</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CNY</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40</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110</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JPY</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CHF</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8" w:space="0" w:color="0F172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870" w:type="dxa"/>
            <w:tcBorders>
              <w:top w:val="single" w:sz="4" w:space="0" w:color="004A6B"/>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116</w:t>
            </w:r>
          </w:p>
        </w:tc>
        <w:tc>
          <w:tcPr>
            <w:tcW w:w="870" w:type="dxa"/>
            <w:tcBorders>
              <w:top w:val="single" w:sz="4" w:space="0" w:color="004A6B"/>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w:t>
            </w:r>
          </w:p>
        </w:tc>
        <w:tc>
          <w:tcPr>
            <w:tcW w:w="870" w:type="dxa"/>
            <w:tcBorders>
              <w:top w:val="single" w:sz="4" w:space="0" w:color="004A6B"/>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 (vain toinen valuutta huomioitu)</w:t>
            </w:r>
          </w:p>
        </w:tc>
        <w:tc>
          <w:tcPr>
            <w:tcW w:w="870" w:type="dxa"/>
            <w:tcBorders>
              <w:top w:val="single" w:sz="8" w:space="0" w:color="0F172B"/>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1 861</w:t>
            </w:r>
          </w:p>
        </w:tc>
        <w:tc>
          <w:tcPr>
            <w:tcW w:w="870" w:type="dxa"/>
            <w:tcBorders>
              <w:top w:val="single" w:sz="8" w:space="0" w:color="0F172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900</w:t>
            </w:r>
          </w:p>
        </w:tc>
        <w:tc>
          <w:tcPr>
            <w:tcW w:w="870" w:type="dxa"/>
            <w:tcBorders>
              <w:top w:val="single" w:sz="8" w:space="0" w:color="0F172B"/>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2 435</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776</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73</w:t>
            </w:r>
          </w:p>
        </w:tc>
      </w:tr>
    </w:tbl>
    <w:p w:rsidR="00030F0B" w:rsidRPr="002B09EE" w:rsidP="00030F0B" w14:paraId="536C3030" w14:textId="77777777">
      <w:pPr>
        <w:pStyle w:val="Bodytext2"/>
        <w:rPr>
          <w:lang w:val="fi-FI"/>
        </w:rPr>
      </w:pPr>
    </w:p>
    <w:p w:rsidR="00030F0B" w:rsidRPr="002B09EE" w:rsidP="00030F0B" w14:paraId="78817AC0" w14:textId="0221AF00">
      <w:pPr>
        <w:pStyle w:val="Bodytext2"/>
        <w:rPr>
          <w:lang w:val="fi-FI"/>
        </w:rPr>
      </w:pPr>
      <w:r w:rsidRPr="002B09EE">
        <w:rPr>
          <w:lang w:val="fi-FI"/>
        </w:rPr>
        <w:t>*</w:t>
      </w:r>
      <w:r w:rsidRPr="002B09EE" w:rsidR="002B09EE">
        <w:rPr>
          <w:lang w:val="fi-FI"/>
        </w:rPr>
        <w:t xml:space="preserve"> Sisäisiä transaktioita, joihin varsinaiset suojauslaskentakirjaukset perustuvat</w:t>
      </w:r>
      <w:r w:rsidRPr="002B09EE">
        <w:rPr>
          <w:lang w:val="fi-FI"/>
        </w:rPr>
        <w:t>.</w:t>
      </w:r>
    </w:p>
    <w:p w:rsidR="00030F0B" w:rsidRPr="002B09EE" w:rsidP="00030F0B" w14:paraId="1A4F1C60" w14:textId="77777777">
      <w:pPr>
        <w:pStyle w:val="Bodytext2"/>
        <w:rPr>
          <w:lang w:val="fi-FI"/>
        </w:rPr>
      </w:pPr>
    </w:p>
    <w:tbl>
      <w:tblPr>
        <w:tblStyle w:val="TableNormal"/>
        <w:tblCaption w:val="table_58_hedged"/>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joihin sovelletaan suojauslaskentaa</w:t>
            </w: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2020</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1 769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2021</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1 010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Ennustetut, erittäin todennäköiset rahavirrat vuosittain (suojattu) </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2020</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1 977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2021</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1 341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2022</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2023</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2024</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2025-</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18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192</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t>
            </w:r>
          </w:p>
        </w:tc>
      </w:tr>
    </w:tbl>
    <w:p w:rsidR="00030F0B" w:rsidRPr="00116433" w:rsidP="00030F0B" w14:paraId="6FE9A6BD" w14:textId="77777777">
      <w:pPr>
        <w:pStyle w:val="Bodytext2"/>
        <w:rPr>
          <w:lang w:val="fi-FI"/>
        </w:rPr>
      </w:pPr>
    </w:p>
    <w:p w:rsidR="00030F0B" w:rsidRPr="002B09EE" w:rsidP="00030F0B" w14:paraId="71AEA31C" w14:textId="29A49694">
      <w:pPr>
        <w:pStyle w:val="Bodytext2"/>
        <w:rPr>
          <w:lang w:val="fi-FI"/>
        </w:rPr>
      </w:pPr>
      <w:r w:rsidRPr="002B09EE">
        <w:rPr>
          <w:lang w:val="fi-FI"/>
        </w:rPr>
        <w:t xml:space="preserve">* </w:t>
      </w:r>
      <w:r w:rsidRPr="002B09EE" w:rsidR="002B09EE">
        <w:rPr>
          <w:lang w:val="fi-FI"/>
        </w:rPr>
        <w:t>Vertailukauden osalta sisältää 2024 ja si</w:t>
      </w:r>
      <w:r w:rsidR="002B09EE">
        <w:rPr>
          <w:lang w:val="fi-FI"/>
        </w:rPr>
        <w:t>itä myöhemmin.</w:t>
      </w:r>
    </w:p>
    <w:p w:rsidR="00030F0B" w:rsidRPr="002B09EE" w:rsidP="00030F0B" w14:paraId="53B44C27" w14:textId="77777777">
      <w:pPr>
        <w:pStyle w:val="Bodytext2"/>
        <w:rPr>
          <w:color w:val="0F172B"/>
          <w:lang w:val="fi-FI"/>
        </w:rPr>
      </w:pPr>
    </w:p>
    <w:p w:rsidR="00030F0B" w:rsidRPr="00116433" w:rsidP="00030F0B" w14:paraId="46DA4C0F" w14:textId="68A86C9F">
      <w:pPr>
        <w:pStyle w:val="Heading13"/>
        <w:rPr>
          <w:lang w:val="fi-FI"/>
        </w:rPr>
      </w:pPr>
      <w:r>
        <w:rPr>
          <w:lang w:val="fi-FI"/>
        </w:rPr>
        <w:t>Johdannaisinstrumentit</w:t>
      </w:r>
    </w:p>
    <w:p w:rsidR="00030F0B" w:rsidRPr="00116433" w:rsidP="00030F0B" w14:paraId="3FA4B7C3" w14:textId="77777777">
      <w:pPr>
        <w:pStyle w:val="Bodytext2"/>
        <w:rPr>
          <w:color w:val="0F172B"/>
          <w:lang w:val="fi-FI"/>
        </w:rPr>
      </w:pPr>
    </w:p>
    <w:tbl>
      <w:tblPr>
        <w:tblStyle w:val="TableNormal"/>
        <w:tblCaption w:val="table_57_derivatives"/>
        <w:tblW w:w="7275" w:type="dxa"/>
        <w:tblLayout w:type="fixed"/>
        <w:tblLook w:val="0600"/>
      </w:tblPr>
      <w:tblGrid>
        <w:gridCol w:w="390"/>
        <w:gridCol w:w="3105"/>
        <w:gridCol w:w="945"/>
        <w:gridCol w:w="945"/>
        <w:gridCol w:w="945"/>
        <w:gridCol w:w="945"/>
      </w:tblGrid>
      <w:tr>
        <w:tblPrEx>
          <w:tblW w:w="7275" w:type="dxa"/>
          <w:tblLayout w:type="fixed"/>
          <w:tblLook w:val="0600"/>
        </w:tblPrEx>
        <w:trPr>
          <w:trHeight w:val="240"/>
        </w:trPr>
        <w:tc>
          <w:tcPr>
            <w:tcW w:w="349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joista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suljettu</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joista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suljettu</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495" w:type="dxa"/>
            <w:gridSpan w:val="2"/>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Johdannaisinstrumenttien nimellisarvot (taso 2)</w:t>
            </w: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Koronvaihtosopimukset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450</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400</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 ja valuutanvaihtosopimukset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237</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246</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495" w:type="dxa"/>
            <w:gridSpan w:val="2"/>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suojauslaskennan alla</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1 010</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558</w:t>
            </w:r>
          </w:p>
        </w:tc>
        <w:tc>
          <w:tcPr>
            <w:tcW w:w="9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1 769</w:t>
            </w:r>
          </w:p>
        </w:tc>
        <w:tc>
          <w:tcPr>
            <w:tcW w:w="9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873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suojauslaskennan ulkopuolella</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650</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245</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597</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2 347</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803</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3 012</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1 086</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10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Johdannaisinstrumenttien markkina-arvostukset (taso 2)</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Koronvaihtosopimukset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 ja valuutanvaihtosopimukset</w:t>
            </w: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495" w:type="dxa"/>
            <w:gridSpan w:val="2"/>
            <w:tcBorders>
              <w:top w:val="nil"/>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suojauslaskennan alla</w:t>
            </w: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945" w:type="dxa"/>
            <w:tcBorders>
              <w:top w:val="nil"/>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945"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495" w:type="dxa"/>
            <w:gridSpan w:val="2"/>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suojauslaskennan ulkopuolella</w:t>
            </w: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9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495" w:type="dxa"/>
            <w:gridSpan w:val="2"/>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45" w:type="dxa"/>
            <w:tcBorders>
              <w:top w:val="nil"/>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030F0B" w:rsidRPr="008F505F" w:rsidP="00EF3EF7" w14:paraId="53482C5E" w14:textId="77777777">
      <w:pPr>
        <w:pStyle w:val="Bodytext2"/>
        <w:rPr>
          <w:lang w:val="fi-FI"/>
        </w:rPr>
      </w:pPr>
    </w:p>
    <w:p w:rsidR="007F5800" w:rsidRPr="008F505F" w:rsidP="00EF3EF7" w14:paraId="799257BD" w14:textId="434920BD">
      <w:pPr>
        <w:pStyle w:val="Bodytext2"/>
        <w:rPr>
          <w:lang w:val="fi-FI"/>
        </w:rPr>
      </w:pPr>
      <w:r w:rsidRPr="008F505F">
        <w:rPr>
          <w:lang w:val="fi-FI"/>
        </w:rPr>
        <w:t>Lisäksi konsernilla oli kuparifutuureja 113 tonnia (173), joiden arvo on 1 milj. euroa (1).</w:t>
      </w:r>
    </w:p>
    <w:p w:rsidR="00030F0B" w:rsidRPr="008F505F" w:rsidP="00EF3EF7" w14:paraId="73B8D949" w14:textId="77777777">
      <w:pPr>
        <w:pStyle w:val="Bodytext2"/>
        <w:rPr>
          <w:lang w:val="fi-FI"/>
        </w:rPr>
      </w:pPr>
    </w:p>
    <w:p w:rsidR="007F5800" w:rsidRPr="008F505F" w:rsidP="00EF3EF7" w14:paraId="1F248906" w14:textId="0D54276E">
      <w:pPr>
        <w:pStyle w:val="Bodytext2"/>
        <w:rPr>
          <w:lang w:val="fi-FI"/>
        </w:rPr>
      </w:pPr>
      <w:r w:rsidRPr="008F505F">
        <w:rPr>
          <w:lang w:val="fi-FI"/>
        </w:rPr>
        <w:t xml:space="preserve">Valuuttatermiinit suojaavat transaktioriskiltä ja erääntyvät seuraavan 12 kuukauden (12) aikana. Valuuttatermiini on suljettu, kun rahavirrat samassa valuutassa samalla arvopäivällä kompensoivat toisiaan. Koronvaihtosopimukset ovat euromääräisiä ja niiden </w:t>
      </w:r>
      <w:r w:rsidRPr="008F505F">
        <w:rPr>
          <w:lang w:val="fi-FI"/>
        </w:rPr>
        <w:t>keskimääräinen juoksuaika on 59 kuukautta (69). Koron- ja valuutanvaihtosopimusten keskimääräinen juoksuaika on 30 kuukautta (41).</w:t>
      </w:r>
    </w:p>
    <w:p w:rsidR="00030F0B" w:rsidRPr="008F505F" w:rsidP="00EF3EF7" w14:paraId="3B53A1A5" w14:textId="77777777">
      <w:pPr>
        <w:pStyle w:val="Bodytext2"/>
        <w:rPr>
          <w:lang w:val="fi-FI"/>
        </w:rPr>
      </w:pPr>
    </w:p>
    <w:p w:rsidR="00030F0B" w:rsidP="00030F0B" w14:paraId="126D0CD0" w14:textId="32B0A1B0">
      <w:pPr>
        <w:pStyle w:val="Bodytext2"/>
        <w:rPr>
          <w:lang w:val="fi-FI"/>
        </w:rPr>
      </w:pPr>
      <w:r w:rsidRPr="003052BC">
        <w:rPr>
          <w:lang w:val="fi-FI"/>
        </w:rPr>
        <w:t xml:space="preserve">Muutokset korkojohdannaisten markkina-arvossa </w:t>
      </w:r>
      <w:r w:rsidR="006A38A2">
        <w:rPr>
          <w:lang w:val="fi-FI"/>
        </w:rPr>
        <w:t>kirjataan</w:t>
      </w:r>
      <w:r w:rsidRPr="003052BC">
        <w:rPr>
          <w:lang w:val="fi-FI"/>
        </w:rPr>
        <w:t xml:space="preserve"> yleensä välittömästi tuloslaskel</w:t>
      </w:r>
      <w:r w:rsidR="006A38A2">
        <w:rPr>
          <w:lang w:val="fi-FI"/>
        </w:rPr>
        <w:t>maan</w:t>
      </w:r>
      <w:r w:rsidRPr="003052BC">
        <w:rPr>
          <w:lang w:val="fi-FI"/>
        </w:rPr>
        <w:t xml:space="preserve">. IFRS 9:n mukaista </w:t>
      </w:r>
      <w:r w:rsidR="006A38A2">
        <w:rPr>
          <w:lang w:val="fi-FI"/>
        </w:rPr>
        <w:t>raha</w:t>
      </w:r>
      <w:r w:rsidRPr="003052BC">
        <w:rPr>
          <w:lang w:val="fi-FI"/>
        </w:rPr>
        <w:t>virran</w:t>
      </w:r>
      <w:r w:rsidR="006A38A2">
        <w:rPr>
          <w:lang w:val="fi-FI"/>
        </w:rPr>
        <w:t xml:space="preserve"> </w:t>
      </w:r>
      <w:r w:rsidRPr="003052BC">
        <w:rPr>
          <w:lang w:val="fi-FI"/>
        </w:rPr>
        <w:t>s</w:t>
      </w:r>
      <w:r w:rsidRPr="003052BC">
        <w:rPr>
          <w:lang w:val="fi-FI"/>
        </w:rPr>
        <w:t>uojauslaskentaa sovelletaan</w:t>
      </w:r>
      <w:r w:rsidR="006A38A2">
        <w:rPr>
          <w:lang w:val="fi-FI"/>
        </w:rPr>
        <w:t xml:space="preserve"> kuitenkin</w:t>
      </w:r>
      <w:r w:rsidRPr="003052BC">
        <w:rPr>
          <w:lang w:val="fi-FI"/>
        </w:rPr>
        <w:t xml:space="preserve"> 130 milj. euron </w:t>
      </w:r>
      <w:r w:rsidR="006A38A2">
        <w:rPr>
          <w:lang w:val="fi-FI"/>
        </w:rPr>
        <w:t xml:space="preserve">(130) </w:t>
      </w:r>
      <w:r w:rsidRPr="003052BC">
        <w:rPr>
          <w:lang w:val="fi-FI"/>
        </w:rPr>
        <w:t>suuruiseen koronvaihtosopimukseen, joka erääntyy 2031. Kyseinen korkosuoja vaihtaa ison vuokrasopimusvelan korkomaksut muut</w:t>
      </w:r>
      <w:r w:rsidR="006A38A2">
        <w:rPr>
          <w:lang w:val="fi-FI"/>
        </w:rPr>
        <w:t>t</w:t>
      </w:r>
      <w:r w:rsidRPr="003052BC">
        <w:rPr>
          <w:lang w:val="fi-FI"/>
        </w:rPr>
        <w:t>uvista kiinteisiin. Koska suojalla ja sen perustana olevalla rahavirrall</w:t>
      </w:r>
      <w:r w:rsidRPr="003052BC">
        <w:rPr>
          <w:lang w:val="fi-FI"/>
        </w:rPr>
        <w:t xml:space="preserve">a on </w:t>
      </w:r>
      <w:r w:rsidR="006A38A2">
        <w:rPr>
          <w:lang w:val="fi-FI"/>
        </w:rPr>
        <w:t>täsmäävät</w:t>
      </w:r>
      <w:r w:rsidRPr="003052BC">
        <w:rPr>
          <w:lang w:val="fi-FI"/>
        </w:rPr>
        <w:t xml:space="preserve"> k</w:t>
      </w:r>
      <w:r w:rsidR="006A38A2">
        <w:rPr>
          <w:lang w:val="fi-FI"/>
        </w:rPr>
        <w:t>eskeiset</w:t>
      </w:r>
      <w:r w:rsidRPr="003052BC">
        <w:rPr>
          <w:lang w:val="fi-FI"/>
        </w:rPr>
        <w:t xml:space="preserve"> ehdot, ja suojaussuhde on 1:1, suojauksen o</w:t>
      </w:r>
      <w:r w:rsidR="006A38A2">
        <w:rPr>
          <w:lang w:val="fi-FI"/>
        </w:rPr>
        <w:t>do</w:t>
      </w:r>
      <w:r w:rsidRPr="003052BC">
        <w:rPr>
          <w:lang w:val="fi-FI"/>
        </w:rPr>
        <w:t xml:space="preserve">tetaan olevan </w:t>
      </w:r>
      <w:r w:rsidR="006A38A2">
        <w:rPr>
          <w:lang w:val="fi-FI"/>
        </w:rPr>
        <w:t>täysin</w:t>
      </w:r>
      <w:r w:rsidRPr="003052BC">
        <w:rPr>
          <w:lang w:val="fi-FI"/>
        </w:rPr>
        <w:t xml:space="preserve"> tehokas. Vuoden 20</w:t>
      </w:r>
      <w:r>
        <w:rPr>
          <w:lang w:val="fi-FI"/>
        </w:rPr>
        <w:t>20</w:t>
      </w:r>
      <w:r w:rsidRPr="003052BC">
        <w:rPr>
          <w:lang w:val="fi-FI"/>
        </w:rPr>
        <w:t xml:space="preserve"> aikana rahavirtasuojan käyvän arvon muutosta</w:t>
      </w:r>
      <w:r w:rsidR="006A38A2">
        <w:rPr>
          <w:lang w:val="fi-FI"/>
        </w:rPr>
        <w:t xml:space="preserve"> on</w:t>
      </w:r>
      <w:r w:rsidRPr="003052BC">
        <w:rPr>
          <w:lang w:val="fi-FI"/>
        </w:rPr>
        <w:t xml:space="preserve"> kirjattu omaan pääomaan </w:t>
      </w:r>
      <w:r w:rsidR="008F5C33">
        <w:rPr>
          <w:lang w:val="fi-FI"/>
        </w:rPr>
        <w:t>-6</w:t>
      </w:r>
      <w:r w:rsidRPr="003052BC">
        <w:rPr>
          <w:lang w:val="fi-FI"/>
        </w:rPr>
        <w:t xml:space="preserve"> milj. euroa</w:t>
      </w:r>
      <w:r w:rsidR="008F5C33">
        <w:rPr>
          <w:lang w:val="fi-FI"/>
        </w:rPr>
        <w:t xml:space="preserve"> (2)</w:t>
      </w:r>
      <w:r w:rsidRPr="003052BC">
        <w:rPr>
          <w:lang w:val="fi-FI"/>
        </w:rPr>
        <w:t xml:space="preserve">, eikä suojaan liittyviä eriä ole </w:t>
      </w:r>
      <w:r w:rsidR="006A38A2">
        <w:rPr>
          <w:lang w:val="fi-FI"/>
        </w:rPr>
        <w:t xml:space="preserve">luokiteltu </w:t>
      </w:r>
      <w:r w:rsidRPr="003052BC">
        <w:rPr>
          <w:lang w:val="fi-FI"/>
        </w:rPr>
        <w:t>uudelleen</w:t>
      </w:r>
      <w:r w:rsidRPr="003052BC">
        <w:rPr>
          <w:lang w:val="fi-FI"/>
        </w:rPr>
        <w:t xml:space="preserve"> tuloslaskelmaan.</w:t>
      </w:r>
    </w:p>
    <w:p w:rsidR="00ED14D8" w:rsidP="00030F0B" w14:paraId="2EA8E0CC" w14:textId="1FC4AE94">
      <w:pPr>
        <w:pStyle w:val="Bodytext2"/>
        <w:rPr>
          <w:lang w:val="fi-FI"/>
        </w:rPr>
      </w:pPr>
    </w:p>
    <w:p w:rsidR="00ED14D8" w:rsidRPr="003052BC" w:rsidP="00030F0B" w14:paraId="576A2DA5" w14:textId="4BE484CE">
      <w:pPr>
        <w:pStyle w:val="Bodytext2"/>
        <w:rPr>
          <w:lang w:val="fi-FI"/>
        </w:rPr>
      </w:pPr>
      <w:r w:rsidRPr="00ED14D8">
        <w:rPr>
          <w:lang w:val="fi-FI"/>
        </w:rPr>
        <w:t>Koska Wärtsilä käyttää johdannaistransaktioissa vain korkean luottokelpoisuuden omaavia vastapuolia, avoimiin johdannaisiin liittyen ei odoteta COVID-19 -pandemiasta aiheutuvaa merkittävää vastapuoliriskin kohoamista. Suojauslaskennan al</w:t>
      </w:r>
      <w:r w:rsidRPr="00ED14D8">
        <w:rPr>
          <w:lang w:val="fi-FI"/>
        </w:rPr>
        <w:t>la olevien johdannaisten suojausten odotetaan pysyvän tehokkaina, sillä tilausten peruutukset eivä ole merkittävästi kasvaneet. Suojattuja rahavirtoja pidetään yhä erittäin todennäköisinä.</w:t>
      </w:r>
    </w:p>
    <w:p w:rsidR="00030F0B" w:rsidRPr="003052BC" w:rsidP="00030F0B" w14:paraId="7C91412E" w14:textId="77777777">
      <w:pPr>
        <w:pStyle w:val="Bodytext2"/>
        <w:rPr>
          <w:color w:val="0F172B"/>
          <w:lang w:val="fi-FI"/>
        </w:rPr>
      </w:pPr>
    </w:p>
    <w:p w:rsidR="00030F0B" w:rsidRPr="007F5800" w:rsidP="00030F0B" w14:paraId="6B7E75B3" w14:textId="4FFE6B71">
      <w:pPr>
        <w:pStyle w:val="Bodytext2"/>
        <w:rPr>
          <w:lang w:val="fi-FI"/>
        </w:rPr>
      </w:pPr>
      <w:r w:rsidRPr="007F5800">
        <w:rPr>
          <w:lang w:val="fi-FI"/>
        </w:rPr>
        <w:t>Normaalisti kaikki konsernin johdannaiset tehdään International Sw</w:t>
      </w:r>
      <w:r w:rsidRPr="007F5800">
        <w:rPr>
          <w:lang w:val="fi-FI"/>
        </w:rPr>
        <w:t>aps and Derivatives Associationin Master Agreement -sopimusten (ISDA) alla. Mikäli sopimusosapuoli on sopimuksessa määritellyn luottotapahtuman kohteena, on toisella sopimusosapuolella oikeus vaatia kaikkien avoimien johdannaisten ennenaikaista eräännyttäm</w:t>
      </w:r>
      <w:r w:rsidRPr="007F5800">
        <w:rPr>
          <w:lang w:val="fi-FI"/>
        </w:rPr>
        <w:t>istä ja niiden netottamista. Nämä sopimukset eivät kuitenkaan täytä tase-erien netotusvaatimuksia. Alla olevassa taulukossa on kyseisten sopimusten alla tehtyjen rahoitusinstrumenttien kirjanpitoarvot.</w:t>
      </w:r>
    </w:p>
    <w:p w:rsidR="00030F0B" w:rsidRPr="007F5800" w:rsidP="00030F0B" w14:paraId="6D7634C2" w14:textId="77777777">
      <w:pPr>
        <w:pStyle w:val="Bodytext2"/>
        <w:rPr>
          <w:color w:val="0F172B"/>
          <w:lang w:val="fi-FI"/>
        </w:rPr>
      </w:pPr>
    </w:p>
    <w:tbl>
      <w:tblPr>
        <w:tblStyle w:val="TableNormal"/>
        <w:tblCaption w:val="table_57_isda"/>
        <w:tblW w:w="7275" w:type="dxa"/>
        <w:tblLayout w:type="fixed"/>
        <w:tblLook w:val="0600"/>
      </w:tblPr>
      <w:tblGrid>
        <w:gridCol w:w="390"/>
        <w:gridCol w:w="3105"/>
        <w:gridCol w:w="945"/>
        <w:gridCol w:w="945"/>
        <w:gridCol w:w="945"/>
        <w:gridCol w:w="945"/>
      </w:tblGrid>
      <w:tr>
        <w:tblPrEx>
          <w:tblW w:w="7275" w:type="dxa"/>
          <w:tblLayout w:type="fixed"/>
          <w:tblLook w:val="0600"/>
        </w:tblPrEx>
        <w:trPr>
          <w:trHeight w:val="240"/>
        </w:trPr>
        <w:tc>
          <w:tcPr>
            <w:tcW w:w="3495" w:type="dxa"/>
            <w:gridSpan w:val="2"/>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94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385" w:type="dxa"/>
            <w:gridSpan w:val="4"/>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Johdannaisinstrumenttien markkina-arvostukset ISDA-sopimusten alla</w:t>
            </w: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10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 ja valuutanvaihtosopimukset</w:t>
            </w:r>
          </w:p>
        </w:tc>
        <w:tc>
          <w:tcPr>
            <w:tcW w:w="945"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45" w:type="dxa"/>
            <w:tcBorders>
              <w:top w:val="nil"/>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9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10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Koronvaihtosopimukset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 ja valuutanvaihtosopimukset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94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9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10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10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385"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Johdannaisinstrumenttien markkina-arvostukset ISDA-sopimusten alla</w:t>
            </w:r>
          </w:p>
        </w:tc>
        <w:tc>
          <w:tcPr>
            <w:tcW w:w="9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Varat</w:t>
            </w: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9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Velat</w:t>
            </w: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9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49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94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4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bl>
    <w:p w:rsidR="00030F0B" w:rsidP="00030F0B" w14:paraId="6AD2E37F" w14:textId="77777777">
      <w:pPr>
        <w:pStyle w:val="Bodytext2"/>
      </w:pPr>
      <w:bookmarkEnd w:id="1153"/>
      <w:r>
        <w:t xml:space="preserve"> </w:t>
      </w:r>
    </w:p>
    <w:p/>
    <w:p w:rsidR="00A5642B" w:rsidRPr="00A5642B" w:rsidP="00A5642B" w14:paraId="20159C00" w14:textId="0F2C6D65">
      <w:pPr>
        <w:pStyle w:val="Heading12"/>
        <w:rPr>
          <w:lang w:val="fi-FI"/>
        </w:rPr>
      </w:pPr>
      <w:bookmarkStart w:id="1154" w:name="RG_MARKER_4710"/>
      <w:r w:rsidRPr="00A5642B">
        <w:rPr>
          <w:lang w:val="fi-FI"/>
        </w:rPr>
        <w:t>5.8. RAHOITUSRISKIT</w:t>
      </w:r>
      <w:bookmarkEnd w:id="1154"/>
    </w:p>
    <w:p w:rsidR="00A5642B" w:rsidRPr="00A5642B" w:rsidP="00A5642B" w14:paraId="780E6518" w14:textId="77777777">
      <w:pPr>
        <w:spacing w:before="48" w:after="0"/>
        <w:rPr>
          <w:rFonts w:ascii="Arial" w:hAnsi="Arial" w:cs="Arial"/>
          <w:b/>
          <w:bCs/>
          <w:sz w:val="17"/>
          <w:szCs w:val="17"/>
          <w:lang w:val="fi-FI"/>
        </w:rPr>
      </w:pPr>
    </w:p>
    <w:p w:rsidR="00A5642B" w:rsidRPr="00A5642B" w:rsidP="00A5642B" w14:paraId="5B49334B" w14:textId="5EBAE465">
      <w:pPr>
        <w:pStyle w:val="Heading13"/>
        <w:rPr>
          <w:rFonts w:cstheme="minorBidi"/>
          <w:lang w:val="fi-FI"/>
        </w:rPr>
      </w:pPr>
      <w:r w:rsidRPr="00A5642B">
        <w:rPr>
          <w:lang w:val="fi-FI"/>
        </w:rPr>
        <w:t>Yleistä</w:t>
      </w:r>
    </w:p>
    <w:p w:rsidR="00A5642B" w:rsidRPr="00F924D3" w:rsidP="00A5642B" w14:paraId="7E5C6C3D" w14:textId="77777777">
      <w:pPr>
        <w:pStyle w:val="Bodytext2"/>
        <w:rPr>
          <w:lang w:val="fi-FI"/>
        </w:rPr>
      </w:pPr>
      <w:r w:rsidRPr="00F924D3">
        <w:rPr>
          <w:lang w:val="fi-FI"/>
        </w:rPr>
        <w:t>Konsernin keskitetyllä rahoitustoiminnolla on kaksi päätehtävää: hankkia riittävästi rahoitusta konsernin tarpeisiin kilpailukykyisellä hinnalla, ja tunnistaa ja arvioida konsernin rahoitusriskit sekä tehdä konserniyhtiöiden tarvitsemat suojaukset.</w:t>
      </w:r>
    </w:p>
    <w:p w:rsidR="00A5642B" w:rsidRPr="00F924D3" w:rsidP="00A5642B" w14:paraId="3AB16E99" w14:textId="6B252F89">
      <w:pPr>
        <w:pStyle w:val="Bodytext2"/>
        <w:rPr>
          <w:lang w:val="fi-FI"/>
        </w:rPr>
      </w:pPr>
    </w:p>
    <w:p w:rsidR="00A5642B" w:rsidRPr="00410C60" w:rsidP="00A5642B" w14:paraId="6DE655FD" w14:textId="372B26BF">
      <w:pPr>
        <w:pStyle w:val="Bodytext2"/>
        <w:rPr>
          <w:sz w:val="2"/>
          <w:szCs w:val="2"/>
          <w:lang w:val="fi-FI"/>
        </w:rPr>
      </w:pPr>
      <w:r w:rsidRPr="00A5642B">
        <w:rPr>
          <w:lang w:val="fi-FI"/>
        </w:rPr>
        <w:t>Tarkoi</w:t>
      </w:r>
      <w:r w:rsidRPr="00A5642B">
        <w:rPr>
          <w:lang w:val="fi-FI"/>
        </w:rPr>
        <w:t>tuksena on suojautua rahoitusmarkkinoilla tapahtuvilta epäsuotuisilta heilahteluilta sekä minimoida valuutta-, korko-, likviditeetti- ja luottoriskien vaikutus konsernin rahavaroihin, tulokseen ja omaan pääomaan.</w:t>
      </w:r>
      <w:r w:rsidR="00410C60">
        <w:rPr>
          <w:lang w:val="fi-FI"/>
        </w:rPr>
        <w:br w:type="column"/>
      </w:r>
    </w:p>
    <w:p w:rsidR="00A5642B" w:rsidRPr="00F924D3" w:rsidP="00A5642B" w14:paraId="2F92948E" w14:textId="3E1C19EA">
      <w:pPr>
        <w:pStyle w:val="Bodytext2"/>
        <w:rPr>
          <w:lang w:val="fi-FI"/>
        </w:rPr>
      </w:pPr>
      <w:r w:rsidRPr="00A5642B">
        <w:rPr>
          <w:lang w:val="fi-FI"/>
        </w:rPr>
        <w:t>Wärtsilän riskienhallintapolitiikka on hyv</w:t>
      </w:r>
      <w:r w:rsidRPr="00A5642B">
        <w:rPr>
          <w:lang w:val="fi-FI"/>
        </w:rPr>
        <w:t xml:space="preserve">äksytty yhtiön hallituksessa. </w:t>
      </w:r>
      <w:r w:rsidRPr="00F924D3">
        <w:rPr>
          <w:lang w:val="fi-FI"/>
        </w:rPr>
        <w:t>Rahoitusriskien suojausinstrumentteina käytetään vain sellaisia instrumentteja, joiden markkina-arvoa ja riskiprofiilia voidaan luotettavasti seurata.</w:t>
      </w:r>
    </w:p>
    <w:p w:rsidR="00A5642B" w:rsidRPr="00F924D3" w:rsidP="00A5642B" w14:paraId="571B0970" w14:textId="77777777">
      <w:pPr>
        <w:pStyle w:val="Bodytext2"/>
        <w:rPr>
          <w:lang w:val="fi-FI"/>
        </w:rPr>
      </w:pPr>
    </w:p>
    <w:p w:rsidR="00A5642B" w:rsidRPr="00F924D3" w:rsidP="00A5642B" w14:paraId="2559D325" w14:textId="3B80B8C0">
      <w:pPr>
        <w:pStyle w:val="Heading13"/>
        <w:rPr>
          <w:lang w:val="fi-FI"/>
        </w:rPr>
      </w:pPr>
      <w:r w:rsidRPr="00F924D3">
        <w:rPr>
          <w:lang w:val="fi-FI"/>
        </w:rPr>
        <w:t>Valuuttariski</w:t>
      </w:r>
    </w:p>
    <w:p w:rsidR="00A5642B" w:rsidRPr="00A5642B" w:rsidP="00A5642B" w14:paraId="0205F7D4" w14:textId="1591BD98">
      <w:pPr>
        <w:pStyle w:val="Bodytext2"/>
        <w:rPr>
          <w:lang w:val="fi-FI"/>
        </w:rPr>
      </w:pPr>
      <w:r w:rsidRPr="00A5642B">
        <w:rPr>
          <w:lang w:val="fi-FI"/>
        </w:rPr>
        <w:t>Valuuttapositioita seurataan liiketoimintojen tasolla. Suoja</w:t>
      </w:r>
      <w:r w:rsidRPr="00A5642B">
        <w:rPr>
          <w:lang w:val="fi-FI"/>
        </w:rPr>
        <w:t>ukset tehdään yhtiötasolla konsernin keskitettyä rahoitustoimintaa vasten, jonka jälkeen suojaukset netotetaan ja katetaan ulkoisesti konsernin rahoitustoimintojen puolesta. Kaikki merkittävät kiinteähintaiset osto- ja myyntisopimukset suojataan. Suojaukse</w:t>
      </w:r>
      <w:r w:rsidRPr="00A5642B">
        <w:rPr>
          <w:lang w:val="fi-FI"/>
        </w:rPr>
        <w:t>t kattavat arvioidut tulevat rahavirrat sekä avoinna olevat myyntisaamiset ja ostovelat sopimuksiin liittyen. Tulevat kaupalliset valuuttayli- ja alijäämät arvioidaan liiketoiminnoittain ja suojausten tasosta päättää johtokunta. IFRS 9:n mukaista suojausla</w:t>
      </w:r>
      <w:r w:rsidRPr="00A5642B">
        <w:rPr>
          <w:lang w:val="fi-FI"/>
        </w:rPr>
        <w:t>skentaa sovelletaan valtaosaan edellä mainittujen erien suojauksista. Suojaukset kattavat aikajakson, joka mahdollistaa myyntihintojen ja kustannusten sopeuttamisen uudella valuuttakurssitasolla. Suojausten pituudet vaihtelevat konserniyhtiöillä kuukaudest</w:t>
      </w:r>
      <w:r w:rsidRPr="00A5642B">
        <w:rPr>
          <w:lang w:val="fi-FI"/>
        </w:rPr>
        <w:t>a kahteen vuoteen. Konserni suojaa myös taseessa olevat valuuttamääräiset erät kuten rahavarat, lainat/talletukset ja muut valuuttamääräiset saatavat ja velat.</w:t>
      </w:r>
    </w:p>
    <w:p w:rsidR="00A5642B" w:rsidRPr="00A5642B" w:rsidP="00A5642B" w14:paraId="3A013B22" w14:textId="77777777">
      <w:pPr>
        <w:pStyle w:val="Bodytext2"/>
        <w:rPr>
          <w:lang w:val="fi-FI"/>
        </w:rPr>
      </w:pPr>
    </w:p>
    <w:p w:rsidR="00A5642B" w:rsidRPr="00A5642B" w:rsidP="00A5642B" w14:paraId="5C466D41" w14:textId="7A028007">
      <w:pPr>
        <w:pStyle w:val="Bodytext2"/>
        <w:rPr>
          <w:lang w:val="fi-FI"/>
        </w:rPr>
      </w:pPr>
      <w:r w:rsidRPr="00A5642B">
        <w:rPr>
          <w:lang w:val="fi-FI"/>
        </w:rPr>
        <w:t xml:space="preserve">Koska kenttähuoltotyöt laskutetaan paikallisessa valuutassa, konsernin liikevaihtoon kohdistuu </w:t>
      </w:r>
      <w:r w:rsidRPr="00A5642B">
        <w:rPr>
          <w:lang w:val="fi-FI"/>
        </w:rPr>
        <w:t>valuuttakurssimuutoksista johtuvaa volatiliteettia. Vaikutus kannattavuuteen on kuitenkin rajallinen, koska myös kustannukset ovat samassa valuutassa. Varaosamyynti perustuu euromääräisiin hinnastoihin, ja niihin liittyvät ostot euroalueen ulkopuolisissa v</w:t>
      </w:r>
      <w:r w:rsidRPr="00A5642B">
        <w:rPr>
          <w:lang w:val="fi-FI"/>
        </w:rPr>
        <w:t>aluutoissa suojataan, joten valuuttakurssimuutokset vaikuttavat varaosamyyntiin vain vähäisesti. Koska projektien/laitteiden myynnit/ostot ja pitkäaikaisten sopimusten arvioidut valuuttariskit suojataan, konserni ei odota merkittäviä voittoja/tappioita val</w:t>
      </w:r>
      <w:r w:rsidRPr="00A5642B">
        <w:rPr>
          <w:lang w:val="fi-FI"/>
        </w:rPr>
        <w:t>uuttakurssimuutoksista vuonna 202</w:t>
      </w:r>
      <w:r w:rsidR="007D770E">
        <w:rPr>
          <w:lang w:val="fi-FI"/>
        </w:rPr>
        <w:t>1</w:t>
      </w:r>
      <w:r w:rsidRPr="00A5642B">
        <w:rPr>
          <w:lang w:val="fi-FI"/>
        </w:rPr>
        <w:t xml:space="preserve"> toiminnassaan lukuun</w:t>
      </w:r>
      <w:r w:rsidR="007D770E">
        <w:rPr>
          <w:lang w:val="fi-FI"/>
        </w:rPr>
        <w:t xml:space="preserve"> </w:t>
      </w:r>
      <w:r w:rsidRPr="00A5642B">
        <w:rPr>
          <w:lang w:val="fi-FI"/>
        </w:rPr>
        <w:t>ottamatta sisäistä rahoitusta.</w:t>
      </w:r>
    </w:p>
    <w:p w:rsidR="00A5642B" w:rsidRPr="00A5642B" w:rsidP="00A5642B" w14:paraId="14DA48A8" w14:textId="77777777">
      <w:pPr>
        <w:pStyle w:val="Bodytext2"/>
        <w:rPr>
          <w:lang w:val="fi-FI"/>
        </w:rPr>
      </w:pPr>
    </w:p>
    <w:p w:rsidR="00A5642B" w:rsidRPr="00A5642B" w:rsidP="00A5642B" w14:paraId="15221A0B" w14:textId="0D84C0E8">
      <w:pPr>
        <w:pStyle w:val="Bodytext2"/>
        <w:rPr>
          <w:color w:val="auto"/>
          <w:lang w:val="fi-FI"/>
        </w:rPr>
      </w:pPr>
      <w:r w:rsidRPr="00A5642B">
        <w:rPr>
          <w:lang w:val="fi-FI"/>
        </w:rPr>
        <w:t xml:space="preserve">Konsernissa käytetyt valuuttasuojausinstrumentit ja näiden nimellisarvot on eritelty liitetiedossa </w:t>
      </w:r>
      <w:r w:rsidR="009921DA">
        <w:rPr>
          <w:lang w:val="fi-FI"/>
        </w:rPr>
        <w:t>5.7</w:t>
      </w:r>
      <w:r w:rsidRPr="00A5642B">
        <w:rPr>
          <w:lang w:val="fi-FI"/>
        </w:rPr>
        <w:t>. Johdannaisinstrumentit.</w:t>
      </w:r>
    </w:p>
    <w:p w:rsidR="00A5642B" w:rsidRPr="00A5642B" w:rsidP="00A5642B" w14:paraId="584DD6A3" w14:textId="77777777">
      <w:pPr>
        <w:pStyle w:val="Bodytext2"/>
        <w:rPr>
          <w:lang w:val="fi-FI"/>
        </w:rPr>
      </w:pPr>
    </w:p>
    <w:p w:rsidR="00A5642B" w:rsidRPr="00A5642B" w:rsidP="00A5642B" w14:paraId="4D70D9BF" w14:textId="6B2102F1">
      <w:pPr>
        <w:pStyle w:val="Bodytext2"/>
        <w:rPr>
          <w:lang w:val="fi-FI"/>
        </w:rPr>
      </w:pPr>
      <w:r w:rsidRPr="00A5642B">
        <w:rPr>
          <w:lang w:val="fi-FI"/>
        </w:rPr>
        <w:t>Koska Wärtsilällä on tytäryhtiöitä ja y</w:t>
      </w:r>
      <w:r w:rsidRPr="00A5642B">
        <w:rPr>
          <w:lang w:val="fi-FI"/>
        </w:rPr>
        <w:t>hteisyrityksiä euroalueen ulkopuolella, ovat konsernin oma pääoma, liikearvo ja kauppahinnan kohdistukset alttiina valuuttakurssien vaihteluille. Vuoden 20</w:t>
      </w:r>
      <w:r>
        <w:rPr>
          <w:lang w:val="fi-FI"/>
        </w:rPr>
        <w:t>20</w:t>
      </w:r>
      <w:r w:rsidRPr="00A5642B">
        <w:rPr>
          <w:lang w:val="fi-FI"/>
        </w:rPr>
        <w:t xml:space="preserve"> lopussa Wärtsilän euroalueen ulkopuolisten tytäryhtiöiden ja yhteisyritysten nettovarallisuuden ar</w:t>
      </w:r>
      <w:r w:rsidRPr="00A5642B">
        <w:rPr>
          <w:lang w:val="fi-FI"/>
        </w:rPr>
        <w:t xml:space="preserve">vo oli </w:t>
      </w:r>
      <w:r>
        <w:rPr>
          <w:lang w:val="fi-FI"/>
        </w:rPr>
        <w:t>956</w:t>
      </w:r>
      <w:r w:rsidRPr="00A5642B">
        <w:rPr>
          <w:lang w:val="fi-FI"/>
        </w:rPr>
        <w:t xml:space="preserve"> milj. euroa (</w:t>
      </w:r>
      <w:r>
        <w:rPr>
          <w:lang w:val="fi-FI"/>
        </w:rPr>
        <w:t>1.041</w:t>
      </w:r>
      <w:r w:rsidRPr="00A5642B">
        <w:rPr>
          <w:lang w:val="fi-FI"/>
        </w:rPr>
        <w:t xml:space="preserve">). Lisäksi ulkomaanrahan määräistä, yrityshankinnoissa syntynyttä liikearvoa ja kauppahinnan kohdistuksia oli </w:t>
      </w:r>
      <w:r>
        <w:rPr>
          <w:lang w:val="fi-FI"/>
        </w:rPr>
        <w:t>865</w:t>
      </w:r>
      <w:r w:rsidRPr="00A5642B">
        <w:rPr>
          <w:lang w:val="fi-FI"/>
        </w:rPr>
        <w:t xml:space="preserve"> milj. euroa (9</w:t>
      </w:r>
      <w:r>
        <w:rPr>
          <w:lang w:val="fi-FI"/>
        </w:rPr>
        <w:t>26</w:t>
      </w:r>
      <w:r w:rsidRPr="00A5642B">
        <w:rPr>
          <w:lang w:val="fi-FI"/>
        </w:rPr>
        <w:t>). Vuonna 2020 muuhun laajaan tulokseen kirjatut muuntoerot syntyivät pääosin Englannin punnan (G</w:t>
      </w:r>
      <w:r w:rsidRPr="00A5642B">
        <w:rPr>
          <w:lang w:val="fi-FI"/>
        </w:rPr>
        <w:t>BP) kurssimuutoksista</w:t>
      </w:r>
    </w:p>
    <w:p w:rsidR="00A5642B" w:rsidRPr="00F924D3" w:rsidP="00A5642B" w14:paraId="75644595" w14:textId="77777777">
      <w:pPr>
        <w:pStyle w:val="Bodytext2"/>
        <w:rPr>
          <w:lang w:val="fi-FI"/>
        </w:rPr>
      </w:pPr>
    </w:p>
    <w:p w:rsidR="00A5642B" w:rsidRPr="009921DA" w:rsidP="00A5642B" w14:paraId="22CE6B2D" w14:textId="70E55AC3">
      <w:pPr>
        <w:pStyle w:val="Bodytext2"/>
        <w:rPr>
          <w:lang w:val="fi-FI"/>
        </w:rPr>
      </w:pPr>
      <w:r w:rsidRPr="009921DA">
        <w:rPr>
          <w:lang w:val="fi-FI"/>
        </w:rPr>
        <w:t>Vuonna 20</w:t>
      </w:r>
      <w:r>
        <w:rPr>
          <w:lang w:val="fi-FI"/>
        </w:rPr>
        <w:t>20</w:t>
      </w:r>
      <w:r w:rsidRPr="009921DA">
        <w:rPr>
          <w:lang w:val="fi-FI"/>
        </w:rPr>
        <w:t xml:space="preserve"> 6</w:t>
      </w:r>
      <w:r>
        <w:rPr>
          <w:lang w:val="fi-FI"/>
        </w:rPr>
        <w:t>5</w:t>
      </w:r>
      <w:r w:rsidRPr="009921DA">
        <w:rPr>
          <w:lang w:val="fi-FI"/>
        </w:rPr>
        <w:t xml:space="preserve">% (67) myynnistä ja </w:t>
      </w:r>
      <w:r>
        <w:rPr>
          <w:lang w:val="fi-FI"/>
        </w:rPr>
        <w:t>61</w:t>
      </w:r>
      <w:r w:rsidRPr="009921DA">
        <w:rPr>
          <w:lang w:val="fi-FI"/>
        </w:rPr>
        <w:t>% (5</w:t>
      </w:r>
      <w:r>
        <w:rPr>
          <w:lang w:val="fi-FI"/>
        </w:rPr>
        <w:t>9</w:t>
      </w:r>
      <w:r w:rsidRPr="009921DA">
        <w:rPr>
          <w:lang w:val="fi-FI"/>
        </w:rPr>
        <w:t>) operatiivisista kuluista oli euromääräisiä, ja 20% (2</w:t>
      </w:r>
      <w:r>
        <w:rPr>
          <w:lang w:val="fi-FI"/>
        </w:rPr>
        <w:t>0</w:t>
      </w:r>
      <w:r w:rsidRPr="009921DA">
        <w:rPr>
          <w:lang w:val="fi-FI"/>
        </w:rPr>
        <w:t>) myynnistä ja 1</w:t>
      </w:r>
      <w:r>
        <w:rPr>
          <w:lang w:val="fi-FI"/>
        </w:rPr>
        <w:t>1</w:t>
      </w:r>
      <w:r w:rsidRPr="009921DA">
        <w:rPr>
          <w:lang w:val="fi-FI"/>
        </w:rPr>
        <w:t>% (</w:t>
      </w:r>
      <w:r>
        <w:rPr>
          <w:lang w:val="fi-FI"/>
        </w:rPr>
        <w:t>10</w:t>
      </w:r>
      <w:r w:rsidRPr="009921DA">
        <w:rPr>
          <w:lang w:val="fi-FI"/>
        </w:rPr>
        <w:t xml:space="preserve">) operatiivisista kuluista oli Yhdysvaltain dollareita. Loppu jakautui usean valuutan kesken. Konsernin </w:t>
      </w:r>
      <w:r w:rsidRPr="009921DA">
        <w:rPr>
          <w:lang w:val="fi-FI"/>
        </w:rPr>
        <w:t>tulokseen ja kilpailukykyyn vaikuttavat välillisesti myös pääkilpailijoiden kotivaluutat: USD, GBP, JPY sekä KRW.</w:t>
      </w:r>
    </w:p>
    <w:p w:rsidR="00A5642B" w:rsidRPr="009921DA" w:rsidP="00A5642B" w14:paraId="63F27589" w14:textId="77777777">
      <w:pPr>
        <w:pStyle w:val="Bodytext2"/>
        <w:rPr>
          <w:lang w:val="fi-FI"/>
        </w:rPr>
      </w:pPr>
    </w:p>
    <w:p w:rsidR="00A5642B" w:rsidRPr="00C44E69" w:rsidP="00A5642B" w14:paraId="679400F4" w14:textId="69DBB1D7">
      <w:pPr>
        <w:pStyle w:val="Bodytext2"/>
        <w:rPr>
          <w:sz w:val="2"/>
          <w:szCs w:val="2"/>
          <w:lang w:val="fi-FI"/>
        </w:rPr>
      </w:pPr>
      <w:r w:rsidRPr="009921DA">
        <w:rPr>
          <w:lang w:val="fi-FI"/>
        </w:rPr>
        <w:t xml:space="preserve">Koska </w:t>
      </w:r>
      <w:bookmarkStart w:id="1155" w:name="XBRL_CS_1006c33ce1d34e64b44d9d6bf8ab1d58"/>
      <w:r w:rsidRPr="008A61E0">
        <w:rPr>
          <w:lang w:val="fi-FI"/>
        </w:rPr>
        <w:t>Wärtsilän toiminta on globaalia</w:t>
      </w:r>
      <w:bookmarkStart w:id="1156" w:name="XBRL_CE_1006c33ce1d34e64b44d9d6bf8ab1d58"/>
      <w:bookmarkEnd w:id="1155"/>
      <w:bookmarkEnd w:id="1156"/>
      <w:r w:rsidRPr="009921DA">
        <w:rPr>
          <w:lang w:val="fi-FI"/>
        </w:rPr>
        <w:t>, siihen liittyy usein valuuttariskejä. Suurimmat avoimet operatiiviset valuuttapositiot (pois</w:t>
      </w:r>
      <w:r w:rsidR="009D19D0">
        <w:rPr>
          <w:lang w:val="fi-FI"/>
        </w:rPr>
        <w:t xml:space="preserve"> </w:t>
      </w:r>
      <w:r w:rsidRPr="009921DA">
        <w:rPr>
          <w:lang w:val="fi-FI"/>
        </w:rPr>
        <w:t>lukien ra</w:t>
      </w:r>
      <w:r w:rsidRPr="009921DA">
        <w:rPr>
          <w:lang w:val="fi-FI"/>
        </w:rPr>
        <w:t>hoitus) per 31.12.20</w:t>
      </w:r>
      <w:r>
        <w:rPr>
          <w:lang w:val="fi-FI"/>
        </w:rPr>
        <w:t>20</w:t>
      </w:r>
      <w:r w:rsidRPr="009921DA">
        <w:rPr>
          <w:lang w:val="fi-FI"/>
        </w:rPr>
        <w:t xml:space="preserve"> on listattu alle.</w:t>
      </w:r>
      <w:r>
        <w:rPr>
          <w:lang w:val="fi-FI"/>
        </w:rPr>
        <w:br w:type="column"/>
      </w:r>
    </w:p>
    <w:p w:rsidR="00A5642B" w:rsidP="00A5642B" w14:paraId="6B082B13" w14:textId="77777777">
      <w:pPr>
        <w:pStyle w:val="Heading13"/>
      </w:pPr>
      <w:r>
        <w:t>2020</w:t>
      </w:r>
    </w:p>
    <w:tbl>
      <w:tblPr>
        <w:tblStyle w:val="TableNormal"/>
        <w:tblCaption w:val="table_58_currency_position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740" w:type="dxa"/>
            <w:gridSpan w:val="2"/>
            <w:tcBorders>
              <w:top w:val="nil"/>
              <w:left w:val="nil"/>
              <w:bottom w:val="nil"/>
              <w:right w:val="nil"/>
              <w:tl2br w:val="nil"/>
              <w:tr2bl w:val="nil"/>
            </w:tcBorders>
            <w:shd w:val="clear" w:color="FFFFFF" w:fill="EBEBEB"/>
            <w:noWrap w:val="0"/>
            <w:tcMar>
              <w:left w:w="40" w:type="dxa"/>
              <w:right w:w="40" w:type="dxa"/>
            </w:tcMar>
            <w:textDirection w:val="lrTb"/>
            <w:tcFitText w:val="0"/>
            <w:vAlign w:val="top"/>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Tase</w:t>
            </w:r>
          </w:p>
        </w:tc>
        <w:tc>
          <w:tcPr>
            <w:tcW w:w="1740" w:type="dxa"/>
            <w:gridSpan w:val="2"/>
            <w:tcBorders>
              <w:top w:val="nil"/>
              <w:left w:val="nil"/>
              <w:bottom w:val="nil"/>
              <w:right w:val="nil"/>
              <w:tl2br w:val="nil"/>
              <w:tr2bl w:val="nil"/>
            </w:tcBorders>
            <w:shd w:val="clear" w:color="FFFFFF" w:fill="EBEBEB"/>
            <w:noWrap w:val="0"/>
            <w:tcMar>
              <w:left w:w="40" w:type="dxa"/>
              <w:right w:w="40" w:type="dxa"/>
            </w:tcMar>
            <w:textDirection w:val="lrTb"/>
            <w:tcFitText w:val="0"/>
            <w:vAlign w:val="top"/>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Arvioidut  rahavirrat</w:t>
            </w:r>
          </w:p>
        </w:tc>
        <w:tc>
          <w:tcPr>
            <w:tcW w:w="870" w:type="dxa"/>
            <w:tcBorders>
              <w:top w:val="nil"/>
              <w:left w:val="nil"/>
              <w:bottom w:val="nil"/>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saa perus-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valuuttaa</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maksaa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perus-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valuuttaa</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saa perus-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valuuttaa</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maksaa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perus-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valuuttaa</w:t>
            </w: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EUR/USD</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53</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147</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303</w:t>
            </w: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EUR/NOK</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USD/NOK</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EUR/CNY</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65</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EUR/GBP</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EUR/SGD</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EUR/JPY</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r>
    </w:tbl>
    <w:p w:rsidR="00A5642B" w:rsidP="00A5642B" w14:paraId="6E31CC93" w14:textId="77777777">
      <w:pPr>
        <w:pStyle w:val="Bodytext2"/>
      </w:pPr>
    </w:p>
    <w:p w:rsidR="00A5642B" w:rsidP="00A5642B" w14:paraId="07820869" w14:textId="77777777">
      <w:pPr>
        <w:pStyle w:val="Heading13"/>
      </w:pPr>
      <w:r>
        <w:t>2019</w:t>
      </w:r>
    </w:p>
    <w:tbl>
      <w:tblPr>
        <w:tblStyle w:val="TableNormal"/>
        <w:tblCaption w:val="table_58_currency_positions_pre"/>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740" w:type="dxa"/>
            <w:gridSpan w:val="2"/>
            <w:tcBorders>
              <w:top w:val="nil"/>
              <w:left w:val="nil"/>
              <w:bottom w:val="nil"/>
              <w:right w:val="nil"/>
              <w:tl2br w:val="nil"/>
              <w:tr2bl w:val="nil"/>
            </w:tcBorders>
            <w:shd w:val="clear" w:color="FFFFFF" w:fill="FFFFFF"/>
            <w:noWrap w:val="0"/>
            <w:tcMar>
              <w:left w:w="40" w:type="dxa"/>
              <w:right w:w="40" w:type="dxa"/>
            </w:tcMar>
            <w:textDirection w:val="lrTb"/>
            <w:tcFitText w:val="0"/>
            <w:vAlign w:val="top"/>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Tase</w:t>
            </w:r>
          </w:p>
        </w:tc>
        <w:tc>
          <w:tcPr>
            <w:tcW w:w="1740" w:type="dxa"/>
            <w:gridSpan w:val="2"/>
            <w:tcBorders>
              <w:top w:val="nil"/>
              <w:left w:val="nil"/>
              <w:bottom w:val="nil"/>
              <w:right w:val="nil"/>
              <w:tl2br w:val="nil"/>
              <w:tr2bl w:val="nil"/>
            </w:tcBorders>
            <w:shd w:val="clear" w:color="FFFFFF" w:fill="FFFFFF"/>
            <w:noWrap w:val="0"/>
            <w:tcMar>
              <w:left w:w="40" w:type="dxa"/>
              <w:right w:w="40" w:type="dxa"/>
            </w:tcMar>
            <w:textDirection w:val="lrTb"/>
            <w:tcFitText w:val="0"/>
            <w:vAlign w:val="top"/>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Arvioidut  rahavirrat</w:t>
            </w: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saa perus-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valuuttaa</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maksaa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perus-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valuuttaa</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saa perus-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valuuttaa</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maksaa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perus-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valuuttaa</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EUR/USD</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152</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338</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512</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EUR/NOK</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USD/NOK</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EUR/CNY</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26</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EUR/GBP</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EUR/JPY</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bl>
    <w:p w:rsidR="00A5642B" w:rsidP="00A5642B" w14:paraId="0918CA44" w14:textId="77777777">
      <w:pPr>
        <w:pStyle w:val="Bodytext2"/>
      </w:pPr>
    </w:p>
    <w:p w:rsidR="00A5642B" w:rsidRPr="009921DA" w:rsidP="00A5642B" w14:paraId="17144C07" w14:textId="274DBDFA">
      <w:pPr>
        <w:pStyle w:val="Bodytext2"/>
        <w:rPr>
          <w:lang w:val="fi-FI"/>
        </w:rPr>
      </w:pPr>
      <w:r w:rsidRPr="009921DA">
        <w:rPr>
          <w:lang w:val="fi-FI"/>
        </w:rPr>
        <w:t xml:space="preserve">Koska konsernin pääasiallinen rahoitusvaluutta on euro ja tytäryhtiöt yleensä rahoitetaan niiden paikallisissa </w:t>
      </w:r>
      <w:r w:rsidRPr="009921DA">
        <w:rPr>
          <w:lang w:val="fi-FI"/>
        </w:rPr>
        <w:t>valuutoissaan keskitetyn rahoitustoiminnon toimesta, keskitetyllä rahoitustoiminnolla oli seuraavat rahoitukseen liittyvät valuuttapositiot auki per 31.12.20</w:t>
      </w:r>
      <w:r>
        <w:rPr>
          <w:lang w:val="fi-FI"/>
        </w:rPr>
        <w:t>20</w:t>
      </w:r>
      <w:r w:rsidRPr="009921DA">
        <w:rPr>
          <w:lang w:val="fi-FI"/>
        </w:rPr>
        <w:t>.</w:t>
      </w:r>
    </w:p>
    <w:p w:rsidR="00A5642B" w:rsidRPr="009921DA" w:rsidP="00A5642B" w14:paraId="00B55A4D" w14:textId="77777777">
      <w:pPr>
        <w:pStyle w:val="Bodytext2"/>
        <w:rPr>
          <w:lang w:val="fi-FI"/>
        </w:rPr>
      </w:pPr>
    </w:p>
    <w:tbl>
      <w:tblPr>
        <w:tblStyle w:val="TableNormal"/>
        <w:tblCaption w:val="table_58_open_currency_position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70"/>
        </w:trPr>
        <w:tc>
          <w:tcPr>
            <w:tcW w:w="2130"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870"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w:t>
            </w:r>
          </w:p>
        </w:tc>
        <w:tc>
          <w:tcPr>
            <w:tcW w:w="870" w:type="dxa"/>
            <w:tcBorders>
              <w:top w:val="nil"/>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Talletukset</w:t>
            </w:r>
          </w:p>
        </w:tc>
        <w:tc>
          <w:tcPr>
            <w:tcW w:w="870" w:type="dxa"/>
            <w:tcBorders>
              <w:top w:val="nil"/>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w:t>
            </w:r>
          </w:p>
        </w:tc>
        <w:tc>
          <w:tcPr>
            <w:tcW w:w="87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w:t>
            </w:r>
          </w:p>
        </w:tc>
        <w:tc>
          <w:tcPr>
            <w:tcW w:w="87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Talletukset</w:t>
            </w:r>
          </w:p>
        </w:tc>
        <w:tc>
          <w:tcPr>
            <w:tcW w:w="87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Konsernin sisäiset velat/talletukset</w:t>
            </w: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282</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266</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GBP</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CHF</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103</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AUD</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NOK</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SGD</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CNY</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CAD</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valuutat*</w:t>
            </w:r>
          </w:p>
        </w:tc>
        <w:tc>
          <w:tcPr>
            <w:tcW w:w="870" w:type="dxa"/>
            <w:tcBorders>
              <w:top w:val="single" w:sz="4" w:space="0" w:color="004A6B"/>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70" w:type="dxa"/>
            <w:tcBorders>
              <w:top w:val="single" w:sz="4" w:space="0" w:color="004A6B"/>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center"/>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Ulkopuoliset velat/talletukset</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JPY</w:t>
            </w: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237**</w:t>
            </w: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237</w:t>
            </w:r>
          </w:p>
        </w:tc>
        <w:tc>
          <w:tcPr>
            <w:tcW w:w="87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246**</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87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388</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455</w:t>
            </w: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692</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435</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639</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906</w:t>
            </w:r>
          </w:p>
        </w:tc>
      </w:tr>
    </w:tbl>
    <w:p w:rsidR="00A5642B" w:rsidP="00A5642B" w14:paraId="2190FA51" w14:textId="77777777">
      <w:pPr>
        <w:pStyle w:val="Bodytext2"/>
      </w:pPr>
    </w:p>
    <w:p w:rsidR="009921DA" w:rsidRPr="009921DA" w:rsidP="009921DA" w14:paraId="07F3DA3E" w14:textId="77777777">
      <w:pPr>
        <w:pStyle w:val="Bodytext2"/>
        <w:rPr>
          <w:lang w:val="fi-FI"/>
        </w:rPr>
      </w:pPr>
      <w:r w:rsidRPr="009921DA">
        <w:rPr>
          <w:lang w:val="fi-FI"/>
        </w:rPr>
        <w:t>* Muut valuutat ei netotu, koska sisältää eri valuuttoj</w:t>
      </w:r>
      <w:r w:rsidRPr="009921DA">
        <w:rPr>
          <w:lang w:val="fi-FI"/>
        </w:rPr>
        <w:t>a.</w:t>
      </w:r>
    </w:p>
    <w:p w:rsidR="00A5642B" w:rsidRPr="009921DA" w:rsidP="009921DA" w14:paraId="10CEE482" w14:textId="75B1B13F">
      <w:pPr>
        <w:pStyle w:val="Bodytext2"/>
        <w:rPr>
          <w:lang w:val="fi-FI"/>
        </w:rPr>
      </w:pPr>
      <w:r w:rsidRPr="009921DA">
        <w:rPr>
          <w:lang w:val="fi-FI"/>
        </w:rPr>
        <w:t>** Ulkopuoliset JPY-lainat suojataan täysimääräisesti valuutan- ja koronvaihtosopimuksilla.</w:t>
      </w:r>
    </w:p>
    <w:p w:rsidR="00A5642B" w:rsidRPr="009921DA" w:rsidP="00A5642B" w14:paraId="6C21180E" w14:textId="77777777">
      <w:pPr>
        <w:pStyle w:val="Bodytext2"/>
        <w:rPr>
          <w:lang w:val="fi-FI"/>
        </w:rPr>
      </w:pPr>
    </w:p>
    <w:p w:rsidR="009921DA" w:rsidRPr="009921DA" w:rsidP="009921DA" w14:paraId="2BF6BE9B" w14:textId="69E65A94">
      <w:pPr>
        <w:pStyle w:val="Bodytext2"/>
        <w:rPr>
          <w:lang w:val="fi-FI"/>
        </w:rPr>
      </w:pPr>
      <w:r w:rsidRPr="009921DA">
        <w:rPr>
          <w:lang w:val="fi-FI"/>
        </w:rPr>
        <w:t xml:space="preserve">Eräillä tytäryhtiöillä maissa, joiden valuutat eivät ole vapaasti vaihdettavia, kuten Argentiinassa, Brasiliassa ja Indonesiassa, on suojaamattomia EUR tai USD </w:t>
      </w:r>
      <w:r w:rsidRPr="009921DA">
        <w:rPr>
          <w:lang w:val="fi-FI"/>
        </w:rPr>
        <w:t xml:space="preserve">määräisiä konsernin sisäisiä lainoja, joista voi aiheutua valuuttakurssieroja. Näiden lainojen kokonaismäärä on </w:t>
      </w:r>
      <w:r>
        <w:rPr>
          <w:lang w:val="fi-FI"/>
        </w:rPr>
        <w:t>66</w:t>
      </w:r>
      <w:r w:rsidRPr="009921DA">
        <w:rPr>
          <w:lang w:val="fi-FI"/>
        </w:rPr>
        <w:t xml:space="preserve"> milj. euroa (1</w:t>
      </w:r>
      <w:r>
        <w:rPr>
          <w:lang w:val="fi-FI"/>
        </w:rPr>
        <w:t>92</w:t>
      </w:r>
      <w:r w:rsidRPr="009921DA">
        <w:rPr>
          <w:lang w:val="fi-FI"/>
        </w:rPr>
        <w:t>).</w:t>
      </w:r>
    </w:p>
    <w:p w:rsidR="009921DA" w:rsidRPr="009921DA" w:rsidP="009921DA" w14:paraId="33FB0AF0" w14:textId="5C920D5D">
      <w:pPr>
        <w:pStyle w:val="Bodytext2"/>
        <w:rPr>
          <w:lang w:val="fi-FI"/>
        </w:rPr>
      </w:pPr>
    </w:p>
    <w:p w:rsidR="00A5642B" w:rsidRPr="009921DA" w:rsidP="009921DA" w14:paraId="134312C7" w14:textId="3EAE579F">
      <w:pPr>
        <w:pStyle w:val="Bodytext2"/>
        <w:rPr>
          <w:lang w:val="fi-FI"/>
        </w:rPr>
      </w:pPr>
      <w:r>
        <w:rPr>
          <w:lang w:val="fi-FI"/>
        </w:rPr>
        <w:t>Wärtsilä ei suojaa muuntoriskiä. Konsernille merkittävimmät valuutat on esitetty liitetiedossa 6.6. Tilinpäätöskursseja.</w:t>
      </w:r>
    </w:p>
    <w:p w:rsidR="00A5642B" w:rsidRPr="009921DA" w:rsidP="00A5642B" w14:paraId="0F341DB5" w14:textId="6A31D7F0">
      <w:pPr>
        <w:pStyle w:val="Bodytext2"/>
        <w:rPr>
          <w:lang w:val="fi-FI"/>
        </w:rPr>
      </w:pPr>
    </w:p>
    <w:p w:rsidR="00A5642B" w:rsidRPr="009921DA" w:rsidP="00A5642B" w14:paraId="5D64722F" w14:textId="1DAB8AAB">
      <w:pPr>
        <w:pStyle w:val="Heading13"/>
        <w:rPr>
          <w:lang w:val="fi-FI"/>
        </w:rPr>
      </w:pPr>
      <w:r>
        <w:rPr>
          <w:lang w:val="fi-FI"/>
        </w:rPr>
        <w:t>Korkoriski</w:t>
      </w:r>
    </w:p>
    <w:p w:rsidR="00A5642B" w:rsidRPr="009921DA" w:rsidP="00A5642B" w14:paraId="717D4F36" w14:textId="338DE0DE">
      <w:pPr>
        <w:pStyle w:val="Bodytext2"/>
        <w:rPr>
          <w:lang w:val="fi-FI"/>
        </w:rPr>
      </w:pPr>
      <w:r w:rsidRPr="009921DA">
        <w:rPr>
          <w:lang w:val="fi-FI"/>
        </w:rPr>
        <w:t>Wärtsilä</w:t>
      </w:r>
      <w:r>
        <w:rPr>
          <w:lang w:val="fi-FI"/>
        </w:rPr>
        <w:t xml:space="preserve">n </w:t>
      </w:r>
      <w:r w:rsidRPr="009921DA">
        <w:rPr>
          <w:lang w:val="fi-FI"/>
        </w:rPr>
        <w:t>korkoriski muodostuu pääasiallisesti nettomääräisen lainasalkun arvon muutoksista (hintariski) sekä korkojen vaihtelusta (vaihtuvakorkoisten lainojen koronmuutokset). Korkoriskejä seurataan mittaamalla jatkuvasti rahoitusinstrumenttie</w:t>
      </w:r>
      <w:r w:rsidRPr="009921DA">
        <w:rPr>
          <w:lang w:val="fi-FI"/>
        </w:rPr>
        <w:t>n markkina-arvoja sekä tekemällä herkkyysanalyysia.</w:t>
      </w:r>
    </w:p>
    <w:p w:rsidR="00A5642B" w:rsidRPr="009921DA" w:rsidP="00A5642B" w14:paraId="6F54B829" w14:textId="77777777">
      <w:pPr>
        <w:pStyle w:val="Bodytext2"/>
        <w:rPr>
          <w:lang w:val="fi-FI"/>
        </w:rPr>
      </w:pPr>
    </w:p>
    <w:p w:rsidR="00A5642B" w:rsidRPr="009921DA" w:rsidP="00A5642B" w14:paraId="2029EC51" w14:textId="6151BFDC">
      <w:pPr>
        <w:pStyle w:val="Bodytext2"/>
        <w:rPr>
          <w:lang w:val="fi-FI"/>
        </w:rPr>
      </w:pPr>
      <w:r w:rsidRPr="009921DA">
        <w:rPr>
          <w:lang w:val="fi-FI"/>
        </w:rPr>
        <w:t>Korollinen velka oli vuoden 20</w:t>
      </w:r>
      <w:r>
        <w:rPr>
          <w:lang w:val="fi-FI"/>
        </w:rPr>
        <w:t>20</w:t>
      </w:r>
      <w:r w:rsidRPr="009921DA">
        <w:rPr>
          <w:lang w:val="fi-FI"/>
        </w:rPr>
        <w:t xml:space="preserve"> lopussa </w:t>
      </w:r>
      <w:r w:rsidR="0001456E">
        <w:rPr>
          <w:lang w:val="fi-FI"/>
        </w:rPr>
        <w:t>1.161</w:t>
      </w:r>
      <w:r w:rsidRPr="009921DA">
        <w:rPr>
          <w:lang w:val="fi-FI"/>
        </w:rPr>
        <w:t xml:space="preserve"> milj. euroa (</w:t>
      </w:r>
      <w:r>
        <w:rPr>
          <w:lang w:val="fi-FI"/>
        </w:rPr>
        <w:t>908</w:t>
      </w:r>
      <w:r w:rsidRPr="009921DA">
        <w:rPr>
          <w:lang w:val="fi-FI"/>
        </w:rPr>
        <w:t>). Keskikorko oli 0,</w:t>
      </w:r>
      <w:r w:rsidR="0001456E">
        <w:rPr>
          <w:lang w:val="fi-FI"/>
        </w:rPr>
        <w:t>8</w:t>
      </w:r>
      <w:r w:rsidRPr="009921DA">
        <w:rPr>
          <w:lang w:val="fi-FI"/>
        </w:rPr>
        <w:t>% (</w:t>
      </w:r>
      <w:r>
        <w:rPr>
          <w:lang w:val="fi-FI"/>
        </w:rPr>
        <w:t>0</w:t>
      </w:r>
      <w:r w:rsidRPr="009921DA">
        <w:rPr>
          <w:lang w:val="fi-FI"/>
        </w:rPr>
        <w:t>,</w:t>
      </w:r>
      <w:r>
        <w:rPr>
          <w:lang w:val="fi-FI"/>
        </w:rPr>
        <w:t>9</w:t>
      </w:r>
      <w:r w:rsidRPr="009921DA">
        <w:rPr>
          <w:lang w:val="fi-FI"/>
        </w:rPr>
        <w:t>) ja keskimääräinen korkosidonnaisuusaika 1</w:t>
      </w:r>
      <w:r w:rsidR="0001456E">
        <w:rPr>
          <w:lang w:val="fi-FI"/>
        </w:rPr>
        <w:t>3</w:t>
      </w:r>
      <w:r w:rsidRPr="009921DA">
        <w:rPr>
          <w:lang w:val="fi-FI"/>
        </w:rPr>
        <w:t xml:space="preserve"> kuukautta (2</w:t>
      </w:r>
      <w:r>
        <w:rPr>
          <w:lang w:val="fi-FI"/>
        </w:rPr>
        <w:t>1</w:t>
      </w:r>
      <w:r w:rsidRPr="009921DA">
        <w:rPr>
          <w:lang w:val="fi-FI"/>
        </w:rPr>
        <w:t>).</w:t>
      </w:r>
    </w:p>
    <w:p w:rsidR="00A5642B" w:rsidRPr="009921DA" w:rsidP="00A5642B" w14:paraId="035B96CD" w14:textId="77777777">
      <w:pPr>
        <w:pStyle w:val="Bodytext2"/>
        <w:rPr>
          <w:lang w:val="fi-FI"/>
        </w:rPr>
      </w:pPr>
    </w:p>
    <w:p w:rsidR="00A5642B" w:rsidRPr="00F924D3" w:rsidP="00A5642B" w14:paraId="6BB4F2DD" w14:textId="2E21138D">
      <w:pPr>
        <w:pStyle w:val="Bodytext2"/>
        <w:rPr>
          <w:lang w:val="fi-FI"/>
        </w:rPr>
      </w:pPr>
      <w:r w:rsidRPr="0001456E">
        <w:rPr>
          <w:lang w:val="fi-FI"/>
        </w:rPr>
        <w:t>Wärtsilä hajauttaa korkoriskejään ottamalla sekä ki</w:t>
      </w:r>
      <w:r w:rsidRPr="0001456E">
        <w:rPr>
          <w:lang w:val="fi-FI"/>
        </w:rPr>
        <w:t xml:space="preserve">inteä- että vaihtuvakorkoista velkaa. Kiinteäkorkoisen velan suhde koko velkasalkkuun saa vaihdella 30 ja 70 prosentin välillä. Hallitus on antanut valtuutuksen väliaikaisesti kasvattaa kiinteäkorkoisten lainojen osuutta 100%:iin, ja valtuutus on voimassa </w:t>
      </w:r>
      <w:r w:rsidRPr="0001456E">
        <w:rPr>
          <w:lang w:val="fi-FI"/>
        </w:rPr>
        <w:t xml:space="preserve">tammikuuhun 2022. </w:t>
      </w:r>
      <w:r w:rsidRPr="00F924D3">
        <w:rPr>
          <w:lang w:val="fi-FI"/>
        </w:rPr>
        <w:t>Wärtsilä suojaa lainaportfolionsa johdannaisilla, kuten koronvaihtosopimuksilla, futuureilla sekä optioilla.</w:t>
      </w:r>
    </w:p>
    <w:p w:rsidR="00A5642B" w:rsidRPr="00F924D3" w:rsidP="00A5642B" w14:paraId="17D5F190" w14:textId="77777777">
      <w:pPr>
        <w:pStyle w:val="Bodytext2"/>
        <w:rPr>
          <w:lang w:val="fi-FI"/>
        </w:rPr>
      </w:pPr>
    </w:p>
    <w:tbl>
      <w:tblPr>
        <w:tblStyle w:val="TableNormal"/>
        <w:tblCaption w:val="table_58_share_of_fixed_loan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213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Kiinteäkorkoiset lainat</w:t>
            </w:r>
          </w:p>
        </w:tc>
        <w:tc>
          <w:tcPr>
            <w:tcW w:w="870"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366</w:t>
            </w:r>
          </w:p>
        </w:tc>
        <w:tc>
          <w:tcPr>
            <w:tcW w:w="87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Vaihtuvakorkoiset lainat</w:t>
            </w:r>
          </w:p>
        </w:tc>
        <w:tc>
          <w:tcPr>
            <w:tcW w:w="87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796</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87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424</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5610" w:type="dxa"/>
            <w:gridSpan w:val="5"/>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Kiinteäkorkoisten lainojen osuus kokonaislainasta (mukaanlukien johdannaiset), %</w:t>
            </w:r>
          </w:p>
        </w:tc>
        <w:tc>
          <w:tcPr>
            <w:tcW w:w="870"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w:t>
            </w:r>
          </w:p>
        </w:tc>
      </w:tr>
    </w:tbl>
    <w:p w:rsidR="00A5642B" w:rsidRPr="00F924D3" w:rsidP="00A5642B" w14:paraId="0740CD5A" w14:textId="77777777">
      <w:pPr>
        <w:pStyle w:val="Bodytext2"/>
        <w:rPr>
          <w:lang w:val="fi-FI"/>
        </w:rPr>
      </w:pPr>
    </w:p>
    <w:p w:rsidR="0001456E" w:rsidRPr="0001456E" w:rsidP="00A5642B" w14:paraId="4F218E95" w14:textId="004BE11E">
      <w:pPr>
        <w:pStyle w:val="Bodytext2"/>
        <w:rPr>
          <w:lang w:val="fi-FI"/>
        </w:rPr>
      </w:pPr>
      <w:r w:rsidRPr="0001456E">
        <w:rPr>
          <w:lang w:val="fi-FI"/>
        </w:rPr>
        <w:t>Vuoden 20</w:t>
      </w:r>
      <w:r>
        <w:rPr>
          <w:lang w:val="fi-FI"/>
        </w:rPr>
        <w:t>20</w:t>
      </w:r>
      <w:r w:rsidRPr="0001456E">
        <w:rPr>
          <w:lang w:val="fi-FI"/>
        </w:rPr>
        <w:t xml:space="preserve"> lopussa yhden prosenttiyksikön suuruinen yhdensuuntainen lasku/nousu korkokäyrässä olisi aiheuttanut 2</w:t>
      </w:r>
      <w:r>
        <w:rPr>
          <w:lang w:val="fi-FI"/>
        </w:rPr>
        <w:t>6</w:t>
      </w:r>
      <w:r w:rsidRPr="0001456E">
        <w:rPr>
          <w:lang w:val="fi-FI"/>
        </w:rPr>
        <w:t xml:space="preserve"> milj. euron (2</w:t>
      </w:r>
      <w:r>
        <w:rPr>
          <w:lang w:val="fi-FI"/>
        </w:rPr>
        <w:t>8</w:t>
      </w:r>
      <w:r w:rsidRPr="0001456E">
        <w:rPr>
          <w:lang w:val="fi-FI"/>
        </w:rPr>
        <w:t>) lisäyksen/vähennyksen nettovelkasalkun arvoon (sisältäen johdannaiset). Yhden prosenttiyksikön suuruinen korkotason muutos aiheuttaisi</w:t>
      </w:r>
      <w:r w:rsidRPr="0001456E">
        <w:rPr>
          <w:lang w:val="fi-FI"/>
        </w:rPr>
        <w:t xml:space="preserve"> </w:t>
      </w:r>
      <w:r>
        <w:rPr>
          <w:lang w:val="fi-FI"/>
        </w:rPr>
        <w:t>4</w:t>
      </w:r>
      <w:r w:rsidRPr="0001456E">
        <w:rPr>
          <w:lang w:val="fi-FI"/>
        </w:rPr>
        <w:t xml:space="preserve"> milj. euron (1) muutoksen velkasalkun seuraavan vuoden korkokuluihin (sisältäen johdannaiset).</w:t>
      </w:r>
    </w:p>
    <w:p w:rsidR="00A5642B" w:rsidRPr="0001456E" w:rsidP="00A5642B" w14:paraId="50A6690A" w14:textId="77777777">
      <w:pPr>
        <w:pStyle w:val="Bodytext2"/>
        <w:rPr>
          <w:lang w:val="fi-FI"/>
        </w:rPr>
      </w:pPr>
    </w:p>
    <w:p w:rsidR="000B38D6" w:rsidRPr="000B38D6" w:rsidP="00A5642B" w14:paraId="10320A84" w14:textId="22B47762">
      <w:pPr>
        <w:pStyle w:val="Bodytext2"/>
        <w:rPr>
          <w:lang w:val="fi-FI"/>
        </w:rPr>
      </w:pPr>
      <w:r w:rsidRPr="000B38D6">
        <w:rPr>
          <w:lang w:val="fi-FI"/>
        </w:rPr>
        <w:t xml:space="preserve">Muuta lainoihin liittyvää tietoa annetaan liitetiedoissa </w:t>
      </w:r>
      <w:r>
        <w:rPr>
          <w:lang w:val="fi-FI"/>
        </w:rPr>
        <w:t>5.2</w:t>
      </w:r>
      <w:r w:rsidRPr="000B38D6">
        <w:rPr>
          <w:lang w:val="fi-FI"/>
        </w:rPr>
        <w:t xml:space="preserve">. Rahoitusvarat ja -velat arvostusryhmittäin ja </w:t>
      </w:r>
      <w:r>
        <w:rPr>
          <w:lang w:val="fi-FI"/>
        </w:rPr>
        <w:t>5</w:t>
      </w:r>
      <w:r w:rsidRPr="000B38D6">
        <w:rPr>
          <w:lang w:val="fi-FI"/>
        </w:rPr>
        <w:t>.</w:t>
      </w:r>
      <w:r>
        <w:rPr>
          <w:lang w:val="fi-FI"/>
        </w:rPr>
        <w:t xml:space="preserve">6. </w:t>
      </w:r>
      <w:r w:rsidRPr="000B38D6">
        <w:rPr>
          <w:lang w:val="fi-FI"/>
        </w:rPr>
        <w:t>Rahoitusve</w:t>
      </w:r>
      <w:r>
        <w:rPr>
          <w:lang w:val="fi-FI"/>
        </w:rPr>
        <w:t>lkojen maturiteettianalyysi. Tieto</w:t>
      </w:r>
      <w:r>
        <w:rPr>
          <w:lang w:val="fi-FI"/>
        </w:rPr>
        <w:t>a korkojohdannaisista on annettu liitetiedossa 5.7. Johdannaisinstrumentit.</w:t>
      </w:r>
    </w:p>
    <w:p w:rsidR="00A5642B" w:rsidRPr="000B38D6" w:rsidP="00A5642B" w14:paraId="15290019" w14:textId="77777777">
      <w:pPr>
        <w:pStyle w:val="Bodytext2"/>
        <w:rPr>
          <w:lang w:val="fi-FI"/>
        </w:rPr>
      </w:pPr>
    </w:p>
    <w:p w:rsidR="00A5642B" w:rsidRPr="000B38D6" w:rsidP="00A5642B" w14:paraId="60F58058" w14:textId="1EA60AED">
      <w:pPr>
        <w:pStyle w:val="Heading13"/>
        <w:rPr>
          <w:lang w:val="fi-FI"/>
        </w:rPr>
      </w:pPr>
      <w:r w:rsidRPr="000B38D6">
        <w:rPr>
          <w:lang w:val="fi-FI"/>
        </w:rPr>
        <w:t>Li</w:t>
      </w:r>
      <w:r w:rsidRPr="000B38D6" w:rsidR="000B38D6">
        <w:rPr>
          <w:lang w:val="fi-FI"/>
        </w:rPr>
        <w:t>kviditeetti- ja jälleenrahoitusrisk</w:t>
      </w:r>
      <w:r w:rsidR="000B38D6">
        <w:rPr>
          <w:lang w:val="fi-FI"/>
        </w:rPr>
        <w:t>i</w:t>
      </w:r>
    </w:p>
    <w:p w:rsidR="00A5642B" w:rsidP="00A5642B" w14:paraId="454991D3" w14:textId="2AC4F047">
      <w:pPr>
        <w:pStyle w:val="Bodytext2"/>
        <w:rPr>
          <w:lang w:val="fi-FI"/>
        </w:rPr>
      </w:pPr>
      <w:r w:rsidRPr="000B38D6">
        <w:rPr>
          <w:lang w:val="fi-FI"/>
        </w:rPr>
        <w:t>W</w:t>
      </w:r>
      <w:r w:rsidRPr="000B38D6" w:rsidR="000B38D6">
        <w:rPr>
          <w:lang w:val="fi-FI"/>
        </w:rPr>
        <w:t>ärtsilä varmistaa aina riittävän likviditeetin tehokkaalla kassanhallinnalla sekä riittävillä vahvistetuilla ja vahvistamattomilla luottolimiiteillä. Jälleenrahoitusriskiä hallitaan tasapainoisella ja riittävän pitkäkestoista lainaa sisältävällä portfoliolla</w:t>
      </w:r>
      <w:r w:rsidRPr="000B38D6">
        <w:rPr>
          <w:lang w:val="fi-FI"/>
        </w:rPr>
        <w:t>.</w:t>
      </w:r>
    </w:p>
    <w:p w:rsidR="0062491A" w:rsidP="00A5642B" w14:paraId="6042A490" w14:textId="77B0212B">
      <w:pPr>
        <w:pStyle w:val="Bodytext2"/>
        <w:rPr>
          <w:lang w:val="fi-FI"/>
        </w:rPr>
      </w:pPr>
    </w:p>
    <w:p w:rsidR="0062491A" w:rsidRPr="000B38D6" w:rsidP="0062491A" w14:paraId="3AF56E4D" w14:textId="13C00200">
      <w:pPr>
        <w:pStyle w:val="Bodytext2"/>
        <w:rPr>
          <w:lang w:val="fi-FI"/>
        </w:rPr>
      </w:pPr>
      <w:r w:rsidRPr="0062491A">
        <w:rPr>
          <w:lang w:val="fi-FI"/>
        </w:rPr>
        <w:t>COVID-19 -pandemian vuoksi</w:t>
      </w:r>
      <w:r>
        <w:rPr>
          <w:lang w:val="fi-FI"/>
        </w:rPr>
        <w:t xml:space="preserve"> </w:t>
      </w:r>
      <w:r w:rsidRPr="0062491A">
        <w:rPr>
          <w:lang w:val="fi-FI"/>
        </w:rPr>
        <w:t xml:space="preserve">konsernin likviditeettireserviä on vahvistettu. Vuonna 2020 erääntyviä </w:t>
      </w:r>
      <w:r>
        <w:rPr>
          <w:lang w:val="fi-FI"/>
        </w:rPr>
        <w:t>v</w:t>
      </w:r>
      <w:r w:rsidRPr="0062491A">
        <w:rPr>
          <w:lang w:val="fi-FI"/>
        </w:rPr>
        <w:t>ahvistettuja</w:t>
      </w:r>
      <w:r>
        <w:rPr>
          <w:lang w:val="fi-FI"/>
        </w:rPr>
        <w:t xml:space="preserve"> </w:t>
      </w:r>
      <w:r w:rsidRPr="0062491A">
        <w:rPr>
          <w:lang w:val="fi-FI"/>
        </w:rPr>
        <w:t>luottolimiittisopimuksia on jatkettu vuoden 2021 loppuun asti ja samalla näiden limiittien kokonaismäärää on myös</w:t>
      </w:r>
      <w:r>
        <w:rPr>
          <w:lang w:val="fi-FI"/>
        </w:rPr>
        <w:t xml:space="preserve"> </w:t>
      </w:r>
      <w:r w:rsidRPr="0062491A">
        <w:rPr>
          <w:lang w:val="fi-FI"/>
        </w:rPr>
        <w:t>nostettu 20 milj. eurolla. Näin ollen käytettävissä olevi</w:t>
      </w:r>
      <w:r w:rsidRPr="0062491A">
        <w:rPr>
          <w:lang w:val="fi-FI"/>
        </w:rPr>
        <w:t>en vahvistettujen luottolimiittisopimusten kokonaismäärä on nyt</w:t>
      </w:r>
      <w:r>
        <w:rPr>
          <w:lang w:val="fi-FI"/>
        </w:rPr>
        <w:t xml:space="preserve"> </w:t>
      </w:r>
      <w:r w:rsidRPr="0062491A">
        <w:rPr>
          <w:lang w:val="fi-FI"/>
        </w:rPr>
        <w:t xml:space="preserve">660 milj. euroa, ja ne ovat kokonaan käyttämättä. Muiden COVID-19 </w:t>
      </w:r>
      <w:r>
        <w:rPr>
          <w:lang w:val="fi-FI"/>
        </w:rPr>
        <w:t>-</w:t>
      </w:r>
      <w:r w:rsidRPr="0062491A">
        <w:rPr>
          <w:lang w:val="fi-FI"/>
        </w:rPr>
        <w:t>pandemiaan liittyvien rahoitusjärjestelyjen</w:t>
      </w:r>
      <w:r>
        <w:rPr>
          <w:lang w:val="fi-FI"/>
        </w:rPr>
        <w:t xml:space="preserve"> </w:t>
      </w:r>
      <w:r w:rsidRPr="0062491A">
        <w:rPr>
          <w:lang w:val="fi-FI"/>
        </w:rPr>
        <w:t>seurauksena nostetiin yhteensä 190 milj. euron arvosta uusia pitkäaikaisia lainoj</w:t>
      </w:r>
      <w:r w:rsidRPr="0062491A">
        <w:rPr>
          <w:lang w:val="fi-FI"/>
        </w:rPr>
        <w:t>a.</w:t>
      </w:r>
      <w:r w:rsidR="00D07561">
        <w:rPr>
          <w:lang w:val="fi-FI"/>
        </w:rPr>
        <w:t xml:space="preserve"> </w:t>
      </w:r>
      <w:r w:rsidRPr="00D07561" w:rsidR="00D07561">
        <w:rPr>
          <w:lang w:val="fi-FI"/>
        </w:rPr>
        <w:t>Konsernin maksuvalmius oli korkealla tasolla 31.12.2020</w:t>
      </w:r>
      <w:r w:rsidR="00D07561">
        <w:rPr>
          <w:lang w:val="fi-FI"/>
        </w:rPr>
        <w:t xml:space="preserve"> </w:t>
      </w:r>
      <w:r w:rsidRPr="00D07561" w:rsidR="00D07561">
        <w:rPr>
          <w:lang w:val="fi-FI"/>
        </w:rPr>
        <w:t xml:space="preserve">ja </w:t>
      </w:r>
      <w:r w:rsidR="00D07561">
        <w:rPr>
          <w:lang w:val="fi-FI"/>
        </w:rPr>
        <w:t>sen</w:t>
      </w:r>
      <w:r w:rsidRPr="00D07561" w:rsidR="00D07561">
        <w:rPr>
          <w:lang w:val="fi-FI"/>
        </w:rPr>
        <w:t xml:space="preserve"> odotetaan pysyvän vahvana vuoden 2021 aikana.</w:t>
      </w:r>
      <w:r>
        <w:rPr>
          <w:lang w:val="fi-FI"/>
        </w:rPr>
        <w:t xml:space="preserve"> </w:t>
      </w:r>
    </w:p>
    <w:p w:rsidR="00A5642B" w:rsidRPr="006650F1" w:rsidP="00A5642B" w14:paraId="326C2E09" w14:textId="77777777">
      <w:pPr>
        <w:pStyle w:val="Bodytext2"/>
        <w:rPr>
          <w:lang w:val="fi-FI"/>
        </w:rPr>
      </w:pPr>
    </w:p>
    <w:p w:rsidR="00A5642B" w:rsidRPr="000B38D6" w:rsidP="00A5642B" w14:paraId="7B2ED5B3" w14:textId="7692C7AB">
      <w:pPr>
        <w:pStyle w:val="Bodytext2"/>
        <w:rPr>
          <w:lang w:val="fi-FI"/>
        </w:rPr>
      </w:pPr>
      <w:r w:rsidRPr="000B38D6">
        <w:rPr>
          <w:lang w:val="fi-FI"/>
        </w:rPr>
        <w:t>T</w:t>
      </w:r>
      <w:r w:rsidRPr="000B38D6" w:rsidR="000B38D6">
        <w:rPr>
          <w:lang w:val="fi-FI"/>
        </w:rPr>
        <w:t>ämänhetkiset rahoitusohjelmat sisältävät</w:t>
      </w:r>
      <w:r w:rsidRPr="000B38D6">
        <w:rPr>
          <w:lang w:val="fi-FI"/>
        </w:rPr>
        <w:t>:</w:t>
      </w:r>
    </w:p>
    <w:p w:rsidR="00A5642B" w:rsidRPr="000B38D6" w:rsidP="00A5642B" w14:paraId="4EC92A57" w14:textId="7B37DB4E">
      <w:pPr>
        <w:pStyle w:val="Bodytext2"/>
        <w:rPr>
          <w:lang w:val="fi-FI"/>
        </w:rPr>
      </w:pPr>
      <w:r w:rsidRPr="000B38D6">
        <w:rPr>
          <w:lang w:val="fi-FI"/>
        </w:rPr>
        <w:t xml:space="preserve">• </w:t>
      </w:r>
      <w:r w:rsidRPr="000B38D6" w:rsidR="000B38D6">
        <w:rPr>
          <w:lang w:val="fi-FI"/>
        </w:rPr>
        <w:t>Vahvistettuja luottolimiittisopimuksia määrältään 6</w:t>
      </w:r>
      <w:r>
        <w:rPr>
          <w:lang w:val="fi-FI"/>
        </w:rPr>
        <w:t>6</w:t>
      </w:r>
      <w:r w:rsidRPr="000B38D6" w:rsidR="000B38D6">
        <w:rPr>
          <w:lang w:val="fi-FI"/>
        </w:rPr>
        <w:t xml:space="preserve">0 milj. euroa </w:t>
      </w:r>
      <w:r w:rsidRPr="000B38D6">
        <w:rPr>
          <w:lang w:val="fi-FI"/>
        </w:rPr>
        <w:t>(640).</w:t>
      </w:r>
    </w:p>
    <w:p w:rsidR="00A5642B" w:rsidRPr="000B38D6" w:rsidP="00A5642B" w14:paraId="166A1E41" w14:textId="3C4FCDE3">
      <w:pPr>
        <w:pStyle w:val="Bodytext2"/>
        <w:rPr>
          <w:lang w:val="fi-FI"/>
        </w:rPr>
      </w:pPr>
      <w:r w:rsidRPr="000B38D6">
        <w:rPr>
          <w:lang w:val="fi-FI"/>
        </w:rPr>
        <w:t xml:space="preserve">• </w:t>
      </w:r>
      <w:r w:rsidRPr="000B38D6" w:rsidR="000B38D6">
        <w:rPr>
          <w:lang w:val="fi-FI"/>
        </w:rPr>
        <w:t>Suomalalisia yritystodistusohjelmia määrältään 8</w:t>
      </w:r>
      <w:r w:rsidR="000B38D6">
        <w:rPr>
          <w:lang w:val="fi-FI"/>
        </w:rPr>
        <w:t>5</w:t>
      </w:r>
      <w:r w:rsidRPr="000B38D6" w:rsidR="000B38D6">
        <w:rPr>
          <w:lang w:val="fi-FI"/>
        </w:rPr>
        <w:t xml:space="preserve">0 milj. euroa </w:t>
      </w:r>
      <w:r w:rsidRPr="000B38D6">
        <w:rPr>
          <w:lang w:val="fi-FI"/>
        </w:rPr>
        <w:t>(800).</w:t>
      </w:r>
    </w:p>
    <w:p w:rsidR="00A5642B" w:rsidRPr="000B38D6" w:rsidP="00A5642B" w14:paraId="00176481" w14:textId="77777777">
      <w:pPr>
        <w:pStyle w:val="Bodytext2"/>
        <w:rPr>
          <w:lang w:val="fi-FI"/>
        </w:rPr>
      </w:pPr>
    </w:p>
    <w:p w:rsidR="002164AB" w:rsidRPr="00F924D3" w:rsidP="00A5642B" w14:paraId="7EC85EC9" w14:textId="543F5CAA">
      <w:pPr>
        <w:pStyle w:val="Bodytext2"/>
        <w:rPr>
          <w:lang w:val="fi-FI"/>
        </w:rPr>
      </w:pPr>
      <w:r w:rsidRPr="002164AB">
        <w:rPr>
          <w:lang w:val="fi-FI"/>
        </w:rPr>
        <w:t xml:space="preserve">Pitkäaikaisten lainojen keskimääräinen takaisinmaksuaika on </w:t>
      </w:r>
      <w:r>
        <w:rPr>
          <w:lang w:val="fi-FI"/>
        </w:rPr>
        <w:t>36</w:t>
      </w:r>
      <w:r w:rsidRPr="002164AB">
        <w:rPr>
          <w:lang w:val="fi-FI"/>
        </w:rPr>
        <w:t xml:space="preserve"> kuukautta (4</w:t>
      </w:r>
      <w:r>
        <w:rPr>
          <w:lang w:val="fi-FI"/>
        </w:rPr>
        <w:t>6</w:t>
      </w:r>
      <w:r w:rsidRPr="002164AB">
        <w:rPr>
          <w:lang w:val="fi-FI"/>
        </w:rPr>
        <w:t xml:space="preserve">) ja vahvistettujen luottolimiittien keskimääräinen takaisinmaksuaika on </w:t>
      </w:r>
      <w:r>
        <w:rPr>
          <w:lang w:val="fi-FI"/>
        </w:rPr>
        <w:t>21</w:t>
      </w:r>
      <w:r w:rsidRPr="002164AB">
        <w:rPr>
          <w:lang w:val="fi-FI"/>
        </w:rPr>
        <w:t xml:space="preserve"> kuukautta (3</w:t>
      </w:r>
      <w:r>
        <w:rPr>
          <w:lang w:val="fi-FI"/>
        </w:rPr>
        <w:t>0</w:t>
      </w:r>
      <w:r w:rsidRPr="002164AB">
        <w:rPr>
          <w:lang w:val="fi-FI"/>
        </w:rPr>
        <w:t xml:space="preserve">). </w:t>
      </w:r>
      <w:r w:rsidRPr="00F924D3">
        <w:rPr>
          <w:lang w:val="fi-FI"/>
        </w:rPr>
        <w:t>Lisätietoa liitet</w:t>
      </w:r>
      <w:r w:rsidRPr="00F924D3">
        <w:rPr>
          <w:lang w:val="fi-FI"/>
        </w:rPr>
        <w:t>iedossa 5.6. Rahoitusvelkojen maturiteettianalyysi.</w:t>
      </w:r>
    </w:p>
    <w:p w:rsidR="00A5642B" w:rsidRPr="00F924D3" w:rsidP="00A5642B" w14:paraId="2BD8F35D" w14:textId="77777777">
      <w:pPr>
        <w:pStyle w:val="Bodytext2"/>
        <w:rPr>
          <w:lang w:val="fi-FI"/>
        </w:rPr>
      </w:pPr>
    </w:p>
    <w:p w:rsidR="00BA7090" w:rsidRPr="00F924D3" w:rsidP="00A5642B" w14:paraId="665B0C7A" w14:textId="26D34D92">
      <w:pPr>
        <w:pStyle w:val="Bodytext2"/>
        <w:rPr>
          <w:lang w:val="fi-FI"/>
        </w:rPr>
      </w:pPr>
      <w:r w:rsidRPr="002164AB">
        <w:rPr>
          <w:lang w:val="fi-FI"/>
        </w:rPr>
        <w:t xml:space="preserve">Konsernin rahavarat olivat vuoden lopussa </w:t>
      </w:r>
      <w:r>
        <w:rPr>
          <w:lang w:val="fi-FI"/>
        </w:rPr>
        <w:t>932</w:t>
      </w:r>
      <w:r w:rsidRPr="002164AB">
        <w:rPr>
          <w:lang w:val="fi-FI"/>
        </w:rPr>
        <w:t xml:space="preserve"> milj. euroa (</w:t>
      </w:r>
      <w:r>
        <w:rPr>
          <w:lang w:val="fi-FI"/>
        </w:rPr>
        <w:t>369</w:t>
      </w:r>
      <w:r w:rsidRPr="002164AB">
        <w:rPr>
          <w:lang w:val="fi-FI"/>
        </w:rPr>
        <w:t>), joka sisältää 1</w:t>
      </w:r>
      <w:r>
        <w:rPr>
          <w:lang w:val="fi-FI"/>
        </w:rPr>
        <w:t>4</w:t>
      </w:r>
      <w:r w:rsidRPr="002164AB">
        <w:rPr>
          <w:lang w:val="fi-FI"/>
        </w:rPr>
        <w:t xml:space="preserve"> milj. euroa</w:t>
      </w:r>
      <w:r>
        <w:rPr>
          <w:lang w:val="fi-FI"/>
        </w:rPr>
        <w:t xml:space="preserve"> (11)</w:t>
      </w:r>
      <w:r w:rsidRPr="002164AB">
        <w:rPr>
          <w:lang w:val="fi-FI"/>
        </w:rPr>
        <w:t xml:space="preserve"> liittyen myytävänä oleviin omaisuuseriin, sekä käyttämättömiä vahvistettuja luottolimiittisopimuksia 6</w:t>
      </w:r>
      <w:r>
        <w:rPr>
          <w:lang w:val="fi-FI"/>
        </w:rPr>
        <w:t>6</w:t>
      </w:r>
      <w:r w:rsidRPr="002164AB">
        <w:rPr>
          <w:lang w:val="fi-FI"/>
        </w:rPr>
        <w:t>0</w:t>
      </w:r>
      <w:r w:rsidRPr="002164AB">
        <w:rPr>
          <w:lang w:val="fi-FI"/>
        </w:rPr>
        <w:t xml:space="preserve"> milj. euroa (640). </w:t>
      </w:r>
      <w:r w:rsidRPr="00F924D3">
        <w:rPr>
          <w:lang w:val="fi-FI"/>
        </w:rPr>
        <w:t>31.12.2020 ja 31.12.2019 yritystodistuksia ei ollut käytössä</w:t>
      </w:r>
      <w:r>
        <w:rPr>
          <w:lang w:val="fi-FI"/>
        </w:rPr>
        <w:t>.</w:t>
      </w:r>
    </w:p>
    <w:p w:rsidR="00A5642B" w:rsidRPr="00F924D3" w:rsidP="00A5642B" w14:paraId="524E68FD" w14:textId="77777777">
      <w:pPr>
        <w:pStyle w:val="Bodytext2"/>
        <w:rPr>
          <w:lang w:val="fi-FI"/>
        </w:rPr>
      </w:pPr>
    </w:p>
    <w:p w:rsidR="00A5642B" w:rsidRPr="00BA7090" w:rsidP="00A5642B" w14:paraId="251E89A7" w14:textId="12D03349">
      <w:pPr>
        <w:pStyle w:val="Bodytext2"/>
        <w:rPr>
          <w:lang w:val="fi-FI"/>
        </w:rPr>
      </w:pPr>
      <w:r w:rsidRPr="00BA7090">
        <w:rPr>
          <w:lang w:val="fi-FI"/>
        </w:rPr>
        <w:t>Vahvistetut luottolimiittisopimukset ja emoyhtiön pitkäaikaiset lainat sisältävät rahoituskovenantin (omavaraisuusaste). Omavaraisuusasteen odotetaan pysyvän selvästi rahoit</w:t>
      </w:r>
      <w:r w:rsidRPr="00BA7090">
        <w:rPr>
          <w:lang w:val="fi-FI"/>
        </w:rPr>
        <w:t>uskovenantin yläpuolella ennustettavissa olevalla ajanjaksolla.</w:t>
      </w:r>
    </w:p>
    <w:p w:rsidR="00A5642B" w:rsidRPr="00BA7090" w:rsidP="00A5642B" w14:paraId="1F939A0C" w14:textId="77777777">
      <w:pPr>
        <w:pStyle w:val="Bodytext2"/>
        <w:rPr>
          <w:lang w:val="fi-FI"/>
        </w:rPr>
      </w:pPr>
    </w:p>
    <w:p w:rsidR="00A5642B" w:rsidRPr="00F924D3" w:rsidP="00A5642B" w14:paraId="7C8971AF" w14:textId="5EFB390F">
      <w:pPr>
        <w:pStyle w:val="Heading13"/>
        <w:rPr>
          <w:lang w:val="fi-FI"/>
        </w:rPr>
      </w:pPr>
      <w:r w:rsidRPr="00F924D3">
        <w:rPr>
          <w:lang w:val="fi-FI"/>
        </w:rPr>
        <w:t>Vahvistetut luottolimiittisopimukset</w:t>
      </w:r>
    </w:p>
    <w:p w:rsidR="00A5642B" w:rsidRPr="00F924D3" w:rsidP="00A5642B" w14:paraId="3FDB30AC" w14:textId="77777777">
      <w:pPr>
        <w:pStyle w:val="Bodytext2"/>
        <w:rPr>
          <w:lang w:val="fi-FI"/>
        </w:rPr>
      </w:pPr>
    </w:p>
    <w:tbl>
      <w:tblPr>
        <w:tblStyle w:val="TableNormal"/>
        <w:tblCaption w:val="table_58_revolving"/>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hRule="exact" w:val="240"/>
        </w:trPr>
        <w:tc>
          <w:tcPr>
            <w:tcW w:w="2130" w:type="dxa"/>
            <w:tcBorders>
              <w:top w:val="nil"/>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nil"/>
              <w:left w:val="nil"/>
              <w:bottom w:val="nil"/>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87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Vuosi</w:t>
            </w: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Erääntyvät</w:t>
            </w:r>
          </w:p>
        </w:tc>
        <w:tc>
          <w:tcPr>
            <w:tcW w:w="870" w:type="dxa"/>
            <w:tcBorders>
              <w:top w:val="nil"/>
              <w:left w:val="nil"/>
              <w:bottom w:val="single" w:sz="8" w:space="0" w:color="0F172B"/>
              <w:right w:val="nil"/>
              <w:tl2br w:val="nil"/>
              <w:tr2bl w:val="nil"/>
            </w:tcBorders>
            <w:shd w:val="clear" w:color="FFFFFF" w:fill="E7E7E7"/>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Käytet-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tävissä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(kauden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lopussa)</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Erääntyvät</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Käytet-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tävissä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(kauden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lopussa)</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2019</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870" w:type="dxa"/>
            <w:tcBorders>
              <w:top w:val="single" w:sz="8" w:space="0" w:color="0F172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640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2020</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660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2021</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280</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2022</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2023</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160</w:t>
            </w: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160</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2024</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7E7E7"/>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870" w:type="dxa"/>
            <w:tcBorders>
              <w:top w:val="single" w:sz="4" w:space="0" w:color="004A6B"/>
              <w:left w:val="nil"/>
              <w:bottom w:val="single" w:sz="4" w:space="0" w:color="004A6B"/>
              <w:right w:val="nil"/>
              <w:tl2br w:val="nil"/>
              <w:tr2bl w:val="nil"/>
            </w:tcBorders>
            <w:shd w:val="clear" w:color="FFFFFF" w:fill="E7E7E7"/>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bl>
    <w:p w:rsidR="00A5642B" w:rsidRPr="00F924D3" w:rsidP="00A5642B" w14:paraId="7A95045F" w14:textId="77777777">
      <w:pPr>
        <w:pStyle w:val="Bodytext2"/>
        <w:rPr>
          <w:lang w:val="fi-FI"/>
        </w:rPr>
      </w:pPr>
    </w:p>
    <w:p w:rsidR="00A5642B" w:rsidRPr="00BA3BD6" w:rsidP="00A5642B" w14:paraId="41D5A9AC" w14:textId="516C2D26">
      <w:pPr>
        <w:pStyle w:val="Heading13"/>
        <w:rPr>
          <w:lang w:val="fi-FI"/>
        </w:rPr>
      </w:pPr>
      <w:r w:rsidRPr="00BA3BD6">
        <w:rPr>
          <w:lang w:val="fi-FI"/>
        </w:rPr>
        <w:t>Luottoriski</w:t>
      </w:r>
    </w:p>
    <w:p w:rsidR="00BA3BD6" w:rsidRPr="00F924D3" w:rsidP="00BA3BD6" w14:paraId="1B333947" w14:textId="7F9B8949">
      <w:pPr>
        <w:pStyle w:val="Bodytext2"/>
        <w:rPr>
          <w:lang w:val="fi-FI"/>
        </w:rPr>
      </w:pPr>
      <w:r w:rsidRPr="00F924D3">
        <w:rPr>
          <w:lang w:val="fi-FI"/>
        </w:rPr>
        <w:t>Kaupalliseen toimintaan liittyvien luottoriskien hallinta on osa liiketoimint</w:t>
      </w:r>
      <w:r>
        <w:rPr>
          <w:lang w:val="fi-FI"/>
        </w:rPr>
        <w:t>ojen</w:t>
      </w:r>
      <w:r w:rsidRPr="00F924D3">
        <w:rPr>
          <w:lang w:val="fi-FI"/>
        </w:rPr>
        <w:t xml:space="preserve"> ja </w:t>
      </w:r>
      <w:r w:rsidRPr="00F924D3">
        <w:rPr>
          <w:lang w:val="fi-FI"/>
        </w:rPr>
        <w:t>konserniyhtiöiden toimintaa. Suuriin kauppoihin ja projektirahoitukseen liittyvät luottoriskit pyritään rajoittamaan siirtämällä riskejä pankeille, vakuutusyhtiöille ja vientitakuulaitoksille.</w:t>
      </w:r>
    </w:p>
    <w:p w:rsidR="00BA3BD6" w:rsidRPr="00F924D3" w:rsidP="00BA3BD6" w14:paraId="172920A7" w14:textId="04F2CEA0">
      <w:pPr>
        <w:pStyle w:val="Bodytext2"/>
        <w:rPr>
          <w:lang w:val="fi-FI"/>
        </w:rPr>
      </w:pPr>
    </w:p>
    <w:p w:rsidR="00BA3BD6" w:rsidRPr="00F924D3" w:rsidP="00BA3BD6" w14:paraId="1FD66190" w14:textId="77777777">
      <w:pPr>
        <w:pStyle w:val="Bodytext2"/>
        <w:rPr>
          <w:lang w:val="fi-FI"/>
        </w:rPr>
      </w:pPr>
      <w:r w:rsidRPr="00F924D3">
        <w:rPr>
          <w:lang w:val="fi-FI"/>
        </w:rPr>
        <w:t>Likvidien varojen sijoittamiseen ja rahoitusinstrumenttien kau</w:t>
      </w:r>
      <w:r w:rsidRPr="00F924D3">
        <w:rPr>
          <w:lang w:val="fi-FI"/>
        </w:rPr>
        <w:t>pankäyntiin liittyviä luottoriskejä minimoidaan asettamalla luottorajat vastapuolille sekä tekemällä sopimuksia vain johtavien koti- ja ulkomaisten pankkien ja rahoituslaitosten kanssa. Koska vain korkean luottoluokituksen (A- vähimmäisluottoluokkavaatimus</w:t>
      </w:r>
      <w:r w:rsidRPr="00F924D3">
        <w:rPr>
          <w:lang w:val="fi-FI"/>
        </w:rPr>
        <w:t>) omaavia vastapuolia hyödynnetään johdannaisinstrumenttien käytössä ja tapahtumiin sovelletaan ISDA-yleissopimusta, luottotappioita ei oleteta syntyvän näistä instrumenteistä.</w:t>
      </w:r>
    </w:p>
    <w:p w:rsidR="00BA3BD6" w:rsidRPr="00F924D3" w:rsidP="00BA3BD6" w14:paraId="33B5788B" w14:textId="77777777">
      <w:pPr>
        <w:pStyle w:val="Bodytext2"/>
        <w:rPr>
          <w:lang w:val="fi-FI"/>
        </w:rPr>
      </w:pPr>
    </w:p>
    <w:p w:rsidR="00BA3BD6" w:rsidRPr="00F924D3" w:rsidP="00BA3BD6" w14:paraId="3584981A" w14:textId="74797F36">
      <w:pPr>
        <w:pStyle w:val="Bodytext2"/>
        <w:rPr>
          <w:lang w:val="fi-FI"/>
        </w:rPr>
      </w:pPr>
      <w:r w:rsidRPr="00F924D3">
        <w:rPr>
          <w:lang w:val="fi-FI"/>
        </w:rPr>
        <w:t>Konserniyhtiöt sijoittavat rahavaransa konsernin rahoitustoiminnon tileille, m</w:t>
      </w:r>
      <w:r w:rsidRPr="00F924D3">
        <w:rPr>
          <w:lang w:val="fi-FI"/>
        </w:rPr>
        <w:t>ikäli paikallinen lainsäädäntö ja keskuspankin säännöt sallivat sen. Konsernin varat sijoitetaan instrumentteihin, joilla on riittävä likviditeetti (lyhytaikaiset pankkitalletukset tai suomalaiset yritystodistukset) ja luottoluokitus (vähintään yksi</w:t>
      </w:r>
      <w:r>
        <w:rPr>
          <w:lang w:val="fi-FI"/>
        </w:rPr>
        <w:t xml:space="preserve"> </w:t>
      </w:r>
      <w:r w:rsidRPr="00F924D3">
        <w:rPr>
          <w:lang w:val="fi-FI"/>
        </w:rPr>
        <w:t xml:space="preserve">A tai </w:t>
      </w:r>
      <w:r w:rsidRPr="00F924D3">
        <w:rPr>
          <w:lang w:val="fi-FI"/>
        </w:rPr>
        <w:t>konsernin talous- ja rahoitusjohtajan erikseen hyväksymä sijoitus). Konsernin keskitetty rahoitustoiminto seuraa jatkuvasti kyseisiä sijoituksia eikä näistä odoteta luottotappioita.</w:t>
      </w:r>
    </w:p>
    <w:p w:rsidR="00BA3BD6" w:rsidRPr="00F924D3" w:rsidP="00BA3BD6" w14:paraId="3ACBEA66" w14:textId="34C51284">
      <w:pPr>
        <w:pStyle w:val="Bodytext2"/>
        <w:rPr>
          <w:lang w:val="fi-FI"/>
        </w:rPr>
      </w:pPr>
    </w:p>
    <w:p w:rsidR="00A5642B" w:rsidRPr="00BA3BD6" w:rsidP="00BA3BD6" w14:paraId="47D366CD" w14:textId="27B26AAD">
      <w:pPr>
        <w:pStyle w:val="Bodytext2"/>
        <w:rPr>
          <w:lang w:val="fi-FI"/>
        </w:rPr>
      </w:pPr>
      <w:r w:rsidRPr="00F924D3">
        <w:rPr>
          <w:lang w:val="fi-FI"/>
        </w:rPr>
        <w:t>Jaksotettuun hankintamenoon tehtyihin sijoituksiin liittyvät odotetut luo</w:t>
      </w:r>
      <w:r w:rsidRPr="00F924D3">
        <w:rPr>
          <w:lang w:val="fi-FI"/>
        </w:rPr>
        <w:t xml:space="preserve">ttotappiot arvioidaan ennakoivasti neljännesvuosittain perustuen sijoitusten eräpäivään ja vastapuoliriskiin. </w:t>
      </w:r>
      <w:r w:rsidRPr="00BA3BD6">
        <w:rPr>
          <w:lang w:val="fi-FI"/>
        </w:rPr>
        <w:t>31.12.2020 odotettu luottotappio ei ollut merkittävä.</w:t>
      </w:r>
    </w:p>
    <w:p w:rsidR="00A5642B" w:rsidRPr="00BA3BD6" w:rsidP="00A5642B" w14:paraId="141B9B85" w14:textId="77777777">
      <w:pPr>
        <w:pStyle w:val="Bodytext2"/>
        <w:rPr>
          <w:lang w:val="fi-FI"/>
        </w:rPr>
      </w:pPr>
    </w:p>
    <w:p w:rsidR="00A5642B" w:rsidRPr="00C44832" w:rsidP="00A5642B" w14:paraId="1EF602B0" w14:textId="29A7BD58">
      <w:pPr>
        <w:pStyle w:val="Bodytext2"/>
        <w:rPr>
          <w:sz w:val="2"/>
          <w:szCs w:val="2"/>
          <w:lang w:val="fi-FI"/>
        </w:rPr>
      </w:pPr>
      <w:r w:rsidRPr="00BA3BD6">
        <w:rPr>
          <w:lang w:val="fi-FI"/>
        </w:rPr>
        <w:t>Odotetut luottotappiot on esitetty liitetiedossa 4.</w:t>
      </w:r>
      <w:r>
        <w:rPr>
          <w:lang w:val="fi-FI"/>
        </w:rPr>
        <w:t>2</w:t>
      </w:r>
      <w:r w:rsidRPr="00BA3BD6">
        <w:rPr>
          <w:lang w:val="fi-FI"/>
        </w:rPr>
        <w:t xml:space="preserve">. </w:t>
      </w:r>
      <w:r>
        <w:rPr>
          <w:lang w:val="fi-FI"/>
        </w:rPr>
        <w:t>Myyntisaamiset ja sopimukseen perustu</w:t>
      </w:r>
      <w:r>
        <w:rPr>
          <w:lang w:val="fi-FI"/>
        </w:rPr>
        <w:t>vat varat ja velat</w:t>
      </w:r>
      <w:r w:rsidRPr="00BA3BD6">
        <w:rPr>
          <w:lang w:val="fi-FI"/>
        </w:rPr>
        <w:t>.</w:t>
      </w:r>
      <w:r>
        <w:rPr>
          <w:lang w:val="fi-FI"/>
        </w:rPr>
        <w:br w:type="column"/>
      </w:r>
    </w:p>
    <w:p w:rsidR="00A5642B" w:rsidRPr="00BA3BD6" w:rsidP="00A5642B" w14:paraId="5ED1D030" w14:textId="59CE34EC">
      <w:pPr>
        <w:pStyle w:val="Heading13"/>
        <w:rPr>
          <w:lang w:val="fi-FI"/>
        </w:rPr>
      </w:pPr>
      <w:r w:rsidRPr="00BA3BD6">
        <w:rPr>
          <w:lang w:val="fi-FI"/>
        </w:rPr>
        <w:t>Osakehintariski</w:t>
      </w:r>
    </w:p>
    <w:p w:rsidR="00BA3BD6" w:rsidRPr="00BA3BD6" w:rsidP="00A5642B" w14:paraId="3223C528" w14:textId="242FFF65">
      <w:pPr>
        <w:pStyle w:val="Bodytext2"/>
        <w:rPr>
          <w:lang w:val="fi-FI"/>
        </w:rPr>
      </w:pPr>
      <w:r w:rsidRPr="00BA3BD6">
        <w:rPr>
          <w:lang w:val="fi-FI"/>
        </w:rPr>
        <w:t>Wärtsilällä on osakesijoituksia 1</w:t>
      </w:r>
      <w:r>
        <w:rPr>
          <w:lang w:val="fi-FI"/>
        </w:rPr>
        <w:t>2</w:t>
      </w:r>
      <w:r w:rsidRPr="00BA3BD6">
        <w:rPr>
          <w:lang w:val="fi-FI"/>
        </w:rPr>
        <w:t xml:space="preserve"> milj. euroa (1</w:t>
      </w:r>
      <w:r>
        <w:rPr>
          <w:lang w:val="fi-FI"/>
        </w:rPr>
        <w:t>4</w:t>
      </w:r>
      <w:r w:rsidRPr="00BA3BD6">
        <w:rPr>
          <w:lang w:val="fi-FI"/>
        </w:rPr>
        <w:t xml:space="preserve">) voimalaitosyhtiöihin, jotka sijaitsevat pääosin kehittyvissä maissa. Kyseisten yhtiöiden tuloskehitys on ollut hyvä ja vastannut odotuksia. Lisätietoja liitetiedossa </w:t>
      </w:r>
      <w:r>
        <w:rPr>
          <w:lang w:val="fi-FI"/>
        </w:rPr>
        <w:t>5.2</w:t>
      </w:r>
      <w:r w:rsidRPr="00BA3BD6">
        <w:rPr>
          <w:lang w:val="fi-FI"/>
        </w:rPr>
        <w:t>. Rahoitusvarat ja -velat arvostusryhmittäin.</w:t>
      </w:r>
    </w:p>
    <w:p w:rsidR="00A5642B" w:rsidRPr="00BA3BD6" w:rsidP="00A5642B" w14:paraId="74EBDD59" w14:textId="77777777">
      <w:pPr>
        <w:pStyle w:val="Bodytext2"/>
        <w:rPr>
          <w:lang w:val="fi-FI"/>
        </w:rPr>
      </w:pPr>
    </w:p>
    <w:p w:rsidR="00A5642B" w:rsidRPr="00BA3BD6" w:rsidP="00A5642B" w14:paraId="1797A29C" w14:textId="63F0FA72">
      <w:pPr>
        <w:pStyle w:val="Heading13"/>
        <w:rPr>
          <w:lang w:val="fi-FI"/>
        </w:rPr>
      </w:pPr>
      <w:r w:rsidRPr="00BA3BD6">
        <w:rPr>
          <w:lang w:val="fi-FI"/>
        </w:rPr>
        <w:t>Pääomarakenteen hallinta</w:t>
      </w:r>
    </w:p>
    <w:p w:rsidR="00A5642B" w:rsidRPr="00BA3BD6" w:rsidP="00A5642B" w14:paraId="2F45F724" w14:textId="4F04CBE8">
      <w:pPr>
        <w:pStyle w:val="Bodytext2"/>
        <w:rPr>
          <w:lang w:val="fi-FI"/>
        </w:rPr>
      </w:pPr>
      <w:r w:rsidRPr="00BA3BD6">
        <w:rPr>
          <w:lang w:val="fi-FI"/>
        </w:rPr>
        <w:t>W</w:t>
      </w:r>
      <w:r w:rsidRPr="00BA3BD6" w:rsidR="00BA3BD6">
        <w:rPr>
          <w:lang w:val="fi-FI"/>
        </w:rPr>
        <w:t>ärtsilän päämääränä on varmistaa vahva pääomapohja ylläpitääkseen sijoittajien ja luotonantajien luottamuksen sekä kehittääkseen toimintaansa. Pääomaksi määritellään oma pääoma mukaan lukien määräysvallattomien omistajien osuus ja netotettu korollinen lainapääoma. Wärtsilän tavoitteena on säilyttää nettovelkaantumisaste alle 0,50. Konsernin osinkopolitiikan mukaan tavoitteena on jakaa vähintään 50% osakekohtaisesta tuloksesta osinkona yli suhdannesyklin</w:t>
      </w:r>
      <w:r w:rsidRPr="00BA3BD6">
        <w:rPr>
          <w:lang w:val="fi-FI"/>
        </w:rPr>
        <w:t>.</w:t>
      </w:r>
    </w:p>
    <w:p w:rsidR="00A5642B" w:rsidRPr="00BA3BD6" w:rsidP="00A5642B" w14:paraId="2A26E9F6" w14:textId="77777777">
      <w:pPr>
        <w:pStyle w:val="Bodytext2"/>
        <w:rPr>
          <w:lang w:val="fi-FI"/>
        </w:rPr>
      </w:pPr>
    </w:p>
    <w:tbl>
      <w:tblPr>
        <w:tblStyle w:val="TableNormal"/>
        <w:tblCaption w:val="table_58_capital_risk_managements"/>
        <w:tblW w:w="7350" w:type="dxa"/>
        <w:tblLayout w:type="fixed"/>
        <w:tblLook w:val="0600"/>
      </w:tblPr>
      <w:tblGrid>
        <w:gridCol w:w="2130"/>
        <w:gridCol w:w="870"/>
        <w:gridCol w:w="870"/>
        <w:gridCol w:w="870"/>
        <w:gridCol w:w="870"/>
        <w:gridCol w:w="870"/>
        <w:gridCol w:w="870"/>
      </w:tblGrid>
      <w:tr>
        <w:tblPrEx>
          <w:tblW w:w="7350" w:type="dxa"/>
          <w:tblLayout w:type="fixed"/>
          <w:tblLook w:val="0600"/>
        </w:tblPrEx>
        <w:trPr>
          <w:trHeight w:val="240"/>
        </w:trPr>
        <w:tc>
          <w:tcPr>
            <w:tcW w:w="4740" w:type="dxa"/>
            <w:gridSpan w:val="4"/>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8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 korolliset velat</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1 005</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Pitkäaikaiset vuokrasopimusvelat</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124</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 korolliset velat</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156</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Lyhytaikaiset vuokrasopimusvelat</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Korolliset velat yhteensä</w:t>
            </w: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1 327</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1 096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saamiset</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-919</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 myytävänä oleviin omaisuuseriin liittyen</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Korolliset saamiset yhteensä</w:t>
            </w: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-933</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Korolliset nettovelat yhteensä</w:t>
            </w:r>
          </w:p>
        </w:tc>
        <w:tc>
          <w:tcPr>
            <w:tcW w:w="87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394</w:t>
            </w:r>
          </w:p>
        </w:tc>
        <w:tc>
          <w:tcPr>
            <w:tcW w:w="87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 pääoma yhteensä</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2 188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2 410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Nettovelkaantumisaste</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0,18</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0,30</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Osana pääomarakenteen hallintaa seurataan myös omavaraisuusastetta:</w:t>
            </w: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13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Taseen loppusumma</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6 232</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6 398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Saadut ennakot</w:t>
            </w:r>
          </w:p>
        </w:tc>
        <w:tc>
          <w:tcPr>
            <w:tcW w:w="87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-452</w:t>
            </w:r>
          </w:p>
        </w:tc>
        <w:tc>
          <w:tcPr>
            <w:tcW w:w="87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5 780</w:t>
            </w:r>
          </w:p>
        </w:tc>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5 946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13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740" w:type="dxa"/>
            <w:gridSpan w:val="4"/>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Omavaraisuusaste, %</w:t>
            </w:r>
          </w:p>
        </w:tc>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7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38,1</w:t>
            </w:r>
          </w:p>
        </w:tc>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40,8</w:t>
            </w:r>
          </w:p>
        </w:tc>
      </w:tr>
    </w:tbl>
    <w:p w:rsidR="00A5642B" w:rsidRPr="009D4992" w:rsidP="00A5642B" w14:paraId="31EA3997" w14:textId="5F1CF531">
      <w:pPr>
        <w:pStyle w:val="Bodytext2"/>
        <w:rPr>
          <w:sz w:val="2"/>
          <w:szCs w:val="2"/>
        </w:rPr>
      </w:pPr>
      <w:r>
        <w:br w:type="column"/>
      </w:r>
    </w:p>
    <w:p w:rsidR="00232A17" w:rsidP="00232A17" w14:paraId="13582C5D" w14:textId="7FA7D52D">
      <w:pPr>
        <w:pStyle w:val="Heading11"/>
      </w:pPr>
      <w:bookmarkStart w:id="1157" w:name="RG_MARKER_4704"/>
      <w:bookmarkStart w:id="1158" w:name="RG_MARKER_3738"/>
      <w:r>
        <w:t>6. KONSERNIRAKENNE</w:t>
      </w:r>
      <w:bookmarkEnd w:id="1158"/>
      <w:bookmarkEnd w:id="1157"/>
    </w:p>
    <w:p w:rsidR="00232A17" w:rsidP="00232A17" w14:paraId="38AAAB40" w14:textId="5A0CF9FD">
      <w:pPr>
        <w:pStyle w:val="Heading12"/>
      </w:pPr>
      <w:r>
        <w:t>6.1. YRITYSHANKINNAT</w:t>
      </w:r>
    </w:p>
    <w:tbl>
      <w:tblPr>
        <w:tblStyle w:val="TableGrid0"/>
        <w:tblW w:w="7371" w:type="dxa"/>
        <w:tblInd w:w="5" w:type="dxa"/>
        <w:tblLook w:val="04A0"/>
      </w:tblPr>
      <w:tblGrid>
        <w:gridCol w:w="7371"/>
      </w:tblGrid>
      <w:tr w14:paraId="13F5744E" w14:textId="77777777" w:rsidTr="00232A17">
        <w:tblPrEx>
          <w:tblW w:w="7371" w:type="dxa"/>
          <w:tblInd w:w="5" w:type="dxa"/>
          <w:tblLook w:val="04A0"/>
        </w:tblPrEx>
        <w:tc>
          <w:tcPr>
            <w:tcW w:w="7361" w:type="dxa"/>
            <w:shd w:val="clear" w:color="auto" w:fill="B6C8D1"/>
          </w:tcPr>
          <w:p w:rsidR="00232A17" w:rsidRPr="00232A17" w14:paraId="06788A53" w14:textId="378D8E4F">
            <w:pPr>
              <w:pStyle w:val="Heading13"/>
              <w:rPr>
                <w:rFonts w:cstheme="minorHAnsi"/>
              </w:rPr>
            </w:pPr>
            <w:r w:rsidRPr="00232A17">
              <w:t>Laadintaperiaatteet</w:t>
            </w:r>
          </w:p>
          <w:p w:rsidR="00232A17" w:rsidP="00232A17" w14:paraId="33CD7165" w14:textId="29713D89">
            <w:pPr>
              <w:pStyle w:val="Bodytext2"/>
            </w:pPr>
            <w:r w:rsidRPr="00232A17">
              <w:t xml:space="preserve">Hankitut tai perustetut tytäryhtiöt sisällytetään konsernitilinpäätökseen käyttäen hankintamenetelmää. Tällöin luovutettu vastike ja hankitun yrityksen yksilöitävissä olevat varat ja </w:t>
            </w:r>
            <w:r w:rsidRPr="00232A17">
              <w:t>vastattavaksi otetut velat on arvostettu käypään arvoon hankintahetkellä. Konsernin lisätessä omistusosuuttaan sellaisessa yhtiössä, jossa Wärtsilällä on jo ollut määräysvalta, määräysvallattomien omistajien osuus hankinnan kohteesta arvostetaan joko käypä</w:t>
            </w:r>
            <w:r w:rsidRPr="00232A17">
              <w:t>än arvoon tai siihen määrään, joka vastaa määräysvallattomien omistajien osuuden suhteellista osuutta hankinnan kohteen yksilöitävissä olevasta nettovarallisuudesta. Hankinnasta syntynyt liikearvo kirjataan määrään, jolla luovutettu vastike, mahdollinen mä</w:t>
            </w:r>
            <w:r w:rsidRPr="00232A17">
              <w:t xml:space="preserve">äräysvallattomien </w:t>
            </w:r>
            <w:r w:rsidRPr="00E34619">
              <w:t>omistajien osuus hankinnan kohteesta ja mahdollinen aiemmin omistettu osuus yhteenlaskettuina, ylittää konsernin osuuden hankitun nettovarallisuuden käyvästä arvosta. Liikearvoille suoritetaan arvonalentumistestaus vähintään vuosittain. H</w:t>
            </w:r>
            <w:r w:rsidRPr="00E34619">
              <w:t>ankintameno sisältää mahdolliset käypään arvoon arvostetut luovutetut varat. Luovutettu vastike ei sisällä hankin</w:t>
            </w:r>
            <w:r w:rsidRPr="00E34619" w:rsidR="00E34619">
              <w:t>taan liittyviä menoja. Ne</w:t>
            </w:r>
            <w:r w:rsidRPr="00E34619">
              <w:t xml:space="preserve"> kirjataan tuloslaskelmaan kuluiksi kausille, joiden aikana menot toteutuvat ja palvelut otetaan vastaan, lukuun ottam</w:t>
            </w:r>
            <w:r w:rsidRPr="00E34619">
              <w:t>atta vieraan- tai omanpääomanehtoisten</w:t>
            </w:r>
            <w:r w:rsidRPr="00232A17">
              <w:t xml:space="preserve"> arvopapereiden liikkeeseen laskusta aiheutuvia menoja.</w:t>
            </w:r>
          </w:p>
          <w:p w:rsidR="00232A17" w:rsidP="00232A17" w14:paraId="20AC1E13" w14:textId="060A71A2">
            <w:pPr>
              <w:pStyle w:val="Bodytext2"/>
            </w:pPr>
          </w:p>
          <w:p w:rsidR="00232A17" w:rsidP="00232A17" w14:paraId="59B60634" w14:textId="0B1ED133">
            <w:pPr>
              <w:pStyle w:val="Bodytext2"/>
            </w:pPr>
            <w:r w:rsidRPr="00232A17">
              <w:t>Merkittävissä liiketoimintojen yhdistämisissä konserni on käyttänyt ulkopuolista neuvonantajaa arvioitaessa aineellisten ja aineettomien hyödykkeiden käypiä arvo</w:t>
            </w:r>
            <w:r w:rsidRPr="00232A17">
              <w:t>ja. Aineellisten hyödykkeiden osalta on tehty vertailuja vastaavien hyödykkeiden markkinahintoihin ja arvioitu hankittujen hyödykkeiden iästä, kulumisesta ja muista vastaavista tekijöistä aiheutuva arvon vähentyminen. Aineettomien hyödykkeiden käyvän arvon</w:t>
            </w:r>
            <w:r w:rsidRPr="00232A17">
              <w:t xml:space="preserve"> määritys perustuu arvioihin hyödykkeisiin liittyvistä tulevista rahavirroista. Hankitut aineettomat hyödykkeet koostuvat yleensä teknologiasta, asiakassuhteista ja tavaramerkeistä.</w:t>
            </w:r>
          </w:p>
          <w:p w:rsidR="00232A17" w:rsidP="00232A17" w14:paraId="17D7EEE6" w14:textId="51F4AE71">
            <w:pPr>
              <w:pStyle w:val="Bodytext2"/>
            </w:pPr>
          </w:p>
          <w:p w:rsidR="00232A17" w:rsidP="00232A17" w14:paraId="32D50A6E" w14:textId="6E7BDB2C">
            <w:pPr>
              <w:pStyle w:val="Bodytext2"/>
            </w:pPr>
            <w:r w:rsidRPr="00232A17">
              <w:t>Liiketoimintojen yhdistämiseen liittyvä mahdollinen ehdollinen vastike (l</w:t>
            </w:r>
            <w:r w:rsidRPr="00232A17">
              <w:t xml:space="preserve">isäkauppahinta) arvostetaan käypään arvoon hankintahetkellä. Se luokitellaan joko velaksi tai omaksi pääomaksi. Velaksi määritelty ehdollinen vastike arvostetaan käypään arvoon kunkin </w:t>
            </w:r>
            <w:r>
              <w:t>raportointi</w:t>
            </w:r>
            <w:r w:rsidRPr="00232A17">
              <w:t>kauden viimeisenä päivänä, ja tästä aiheutuva tappio tai voit</w:t>
            </w:r>
            <w:r w:rsidRPr="00232A17">
              <w:t>to kirjataan tulosvaikutteisesti. Omaksi pääomaksi määriteltyä ehdollista vastiketta ei arvosteta uudelleen.</w:t>
            </w:r>
          </w:p>
          <w:p w:rsidR="00232A17" w:rsidRPr="00232A17" w:rsidP="00232A17" w14:paraId="5F2FD74A" w14:textId="77777777">
            <w:pPr>
              <w:pStyle w:val="Bodytext2"/>
            </w:pPr>
          </w:p>
          <w:p w:rsidR="00232A17" w:rsidRPr="00232A17" w:rsidP="00232A17" w14:paraId="407B81FA" w14:textId="7B5A809F">
            <w:pPr>
              <w:pStyle w:val="Bodytext2"/>
              <w:rPr>
                <w:highlight w:val="yellow"/>
              </w:rPr>
            </w:pPr>
            <w:r w:rsidRPr="00232A17">
              <w:t>Hankitut tytäryhtiöt yhdistellään konsernitilinpäätökseen siitä hetkestä lähtien, kun konserni on saanut määräysvallan</w:t>
            </w:r>
            <w:r>
              <w:t>.</w:t>
            </w:r>
          </w:p>
          <w:p w:rsidR="00232A17" w:rsidRPr="00232A17" w14:paraId="7B4E1789" w14:textId="77777777">
            <w:pPr>
              <w:pStyle w:val="Bodytext2"/>
            </w:pPr>
          </w:p>
          <w:p w:rsidR="00232A17" w:rsidRPr="00E34619" w14:paraId="7DE9DE19" w14:textId="74C52355">
            <w:pPr>
              <w:pStyle w:val="Heading13"/>
              <w:rPr>
                <w:rFonts w:cstheme="minorHAnsi"/>
              </w:rPr>
            </w:pPr>
            <w:r w:rsidRPr="0027436C">
              <w:t>Kirjanpidolliset arviot j</w:t>
            </w:r>
            <w:r w:rsidRPr="0027436C">
              <w:t>a harkinnat</w:t>
            </w:r>
          </w:p>
          <w:p w:rsidR="00232A17" w:rsidRPr="00E34619" w14:paraId="0FFA64B0" w14:textId="24DBCA6F">
            <w:pPr>
              <w:pStyle w:val="Bodytext2"/>
            </w:pPr>
            <w:r w:rsidRPr="00232A17">
              <w:t>Liiketoimintojen yhdistämisen kirjanpitokäsittely saattaa edellyttää arvioita hankittujen varallisuuserien käyvästä arvosta ja toteutuneiden ehdollisten vastikkeiden määrästä.</w:t>
            </w:r>
          </w:p>
        </w:tc>
      </w:tr>
    </w:tbl>
    <w:p w:rsidR="00232A17" w:rsidRPr="00232A17" w:rsidP="00232A17" w14:paraId="4A7B88EF" w14:textId="77777777">
      <w:pPr>
        <w:pStyle w:val="Bodytext2"/>
        <w:rPr>
          <w:lang w:val="fi-FI"/>
        </w:rPr>
      </w:pPr>
    </w:p>
    <w:p w:rsidR="00232A17" w:rsidRPr="00E34619" w:rsidP="00232A17" w14:paraId="0041264C" w14:textId="77777777">
      <w:pPr>
        <w:pStyle w:val="Heading13"/>
        <w:rPr>
          <w:lang w:val="fi-FI"/>
        </w:rPr>
      </w:pPr>
      <w:r w:rsidRPr="00E34619">
        <w:rPr>
          <w:lang w:val="fi-FI"/>
        </w:rPr>
        <w:t>2020</w:t>
      </w:r>
    </w:p>
    <w:p w:rsidR="00232A17" w:rsidRPr="00E34619" w:rsidP="00232A17" w14:paraId="5E66F38B" w14:textId="45DB8B97">
      <w:pPr>
        <w:pStyle w:val="Bodytext2"/>
        <w:rPr>
          <w:lang w:val="fi-FI"/>
        </w:rPr>
      </w:pPr>
      <w:r>
        <w:rPr>
          <w:lang w:val="fi-FI"/>
        </w:rPr>
        <w:t>Vuonna 2020 ei tehty yrityshankintoja.</w:t>
      </w:r>
    </w:p>
    <w:p w:rsidR="00232A17" w:rsidRPr="00E34619" w:rsidP="00232A17" w14:paraId="2E9A15B5" w14:textId="77777777">
      <w:pPr>
        <w:pStyle w:val="Bodytext2"/>
        <w:rPr>
          <w:lang w:val="fi-FI"/>
        </w:rPr>
      </w:pPr>
    </w:p>
    <w:p w:rsidR="00232A17" w:rsidRPr="00E34619" w:rsidP="00232A17" w14:paraId="683F8C6E" w14:textId="77777777">
      <w:pPr>
        <w:pStyle w:val="Heading13"/>
        <w:rPr>
          <w:lang w:val="fi-FI"/>
        </w:rPr>
      </w:pPr>
      <w:r w:rsidRPr="00E34619">
        <w:rPr>
          <w:lang w:val="fi-FI"/>
        </w:rPr>
        <w:t>2019</w:t>
      </w:r>
    </w:p>
    <w:p w:rsidR="00232A17" w:rsidRPr="00E34619" w:rsidP="00232A17" w14:paraId="1E4F42E1" w14:textId="1DBAF9D9">
      <w:pPr>
        <w:pStyle w:val="Heading13"/>
        <w:rPr>
          <w:lang w:val="fi-FI"/>
        </w:rPr>
      </w:pPr>
      <w:r w:rsidRPr="00E34619">
        <w:rPr>
          <w:lang w:val="fi-FI"/>
        </w:rPr>
        <w:t xml:space="preserve">Ships </w:t>
      </w:r>
      <w:r w:rsidRPr="00E34619">
        <w:rPr>
          <w:lang w:val="fi-FI"/>
        </w:rPr>
        <w:t>Electronic Services Ltd</w:t>
      </w:r>
    </w:p>
    <w:p w:rsidR="00232A17" w:rsidRPr="00232A17" w:rsidP="00232A17" w14:paraId="61C579E4" w14:textId="77777777">
      <w:pPr>
        <w:pStyle w:val="Bodytext2"/>
        <w:rPr>
          <w:lang w:val="fi-FI"/>
        </w:rPr>
      </w:pPr>
      <w:r w:rsidRPr="00232A17">
        <w:rPr>
          <w:lang w:val="fi-FI"/>
        </w:rPr>
        <w:t>Toukokuussa Wärtsilä hankki 100% brittiläisen Ships Electronic Services Ltd:sta (“SES”), joka erikoistuu pääasiassa kaupallisten ja vapaa-ajan alusten navigointi- ja viestintäelektroniikkaan sekä asennukseen, huoltoon ja korjauspalv</w:t>
      </w:r>
      <w:r w:rsidRPr="00232A17">
        <w:rPr>
          <w:lang w:val="fi-FI"/>
        </w:rPr>
        <w:t>eluihin. SES:n liikevaihto oli noin 10 miljoonaa puntaa, ja yhtiön henkilöstömäärä oli 47. Yrityskaupan arvo oli 3,2 miljoonaa puntaa.</w:t>
      </w:r>
    </w:p>
    <w:p w:rsidR="00232A17" w:rsidRPr="00232A17" w:rsidP="00232A17" w14:paraId="6FE21CF5" w14:textId="77777777">
      <w:pPr>
        <w:pStyle w:val="Bodytext2"/>
        <w:rPr>
          <w:lang w:val="fi-FI"/>
        </w:rPr>
      </w:pPr>
    </w:p>
    <w:p w:rsidR="00232A17" w:rsidRPr="00232A17" w:rsidP="00232A17" w14:paraId="4DB5AC0D" w14:textId="507DC9E1">
      <w:pPr>
        <w:pStyle w:val="Bodytext2"/>
        <w:rPr>
          <w:lang w:val="fi-FI"/>
        </w:rPr>
      </w:pPr>
      <w:r w:rsidRPr="00232A17">
        <w:rPr>
          <w:lang w:val="fi-FI"/>
        </w:rPr>
        <w:t>Kauppasumma ja kaupan vaikutus tilikauden tulokseen eivät olleet merkittäviä.</w:t>
      </w:r>
    </w:p>
    <w:p/>
    <w:p w:rsidR="009E7B0C" w:rsidP="009E7B0C" w14:paraId="0EBB5311" w14:textId="2F548B0C">
      <w:pPr>
        <w:pStyle w:val="Heading12"/>
      </w:pPr>
      <w:bookmarkStart w:id="1159" w:name="RG_MARKER_4705"/>
      <w:r>
        <w:t>6.2. YRITYSMYYNNIT</w:t>
      </w:r>
      <w:bookmarkEnd w:id="1159"/>
    </w:p>
    <w:tbl>
      <w:tblPr>
        <w:tblStyle w:val="TableGrid"/>
        <w:tblW w:w="7371" w:type="dxa"/>
        <w:tblLook w:val="04A0"/>
      </w:tblPr>
      <w:tblGrid>
        <w:gridCol w:w="7371"/>
      </w:tblGrid>
      <w:tr w14:paraId="4C4B839E" w14:textId="77777777" w:rsidTr="009E7B0C">
        <w:tblPrEx>
          <w:tblW w:w="7371" w:type="dxa"/>
          <w:tblLook w:val="04A0"/>
        </w:tblPrEx>
        <w:tc>
          <w:tcPr>
            <w:tcW w:w="7371" w:type="dxa"/>
            <w:tcBorders>
              <w:top w:val="nil"/>
              <w:left w:val="nil"/>
              <w:bottom w:val="nil"/>
              <w:right w:val="nil"/>
            </w:tcBorders>
            <w:shd w:val="clear" w:color="auto" w:fill="B6C8D1"/>
            <w:hideMark/>
          </w:tcPr>
          <w:p w:rsidR="009E7B0C" w:rsidRPr="009E7B0C" w14:paraId="436E64DA" w14:textId="19FEC4A9">
            <w:pPr>
              <w:pStyle w:val="Heading13"/>
              <w:rPr>
                <w:rFonts w:eastAsiaTheme="minorEastAsia" w:cstheme="minorHAnsi"/>
                <w:lang w:val="fi-FI" w:eastAsia="fi-FI"/>
              </w:rPr>
            </w:pPr>
            <w:r w:rsidRPr="009E7B0C">
              <w:rPr>
                <w:lang w:val="fi-FI"/>
              </w:rPr>
              <w:t>Laadintaperiaatteet</w:t>
            </w:r>
          </w:p>
          <w:p w:rsidR="009E7B0C" w:rsidRPr="009E7B0C" w14:paraId="7D1FE971" w14:textId="662CE271">
            <w:pPr>
              <w:pStyle w:val="Bodytext2"/>
              <w:rPr>
                <w:rFonts w:eastAsiaTheme="minorEastAsia"/>
                <w:color w:val="0F172B"/>
                <w:lang w:val="fi-FI" w:eastAsia="fi-FI"/>
              </w:rPr>
            </w:pPr>
            <w:r>
              <w:rPr>
                <w:color w:val="0F172B"/>
                <w:lang w:val="fi-FI"/>
              </w:rPr>
              <w:t xml:space="preserve">Luovutetut </w:t>
            </w:r>
            <w:r w:rsidRPr="009E7B0C">
              <w:rPr>
                <w:color w:val="0F172B"/>
                <w:lang w:val="fi-FI"/>
              </w:rPr>
              <w:t>tytäryhtiöt yhdistellään konsernitilinpäätökseen siihen</w:t>
            </w:r>
            <w:r>
              <w:rPr>
                <w:color w:val="0F172B"/>
                <w:lang w:val="fi-FI"/>
              </w:rPr>
              <w:t xml:space="preserve"> hetkeen asti</w:t>
            </w:r>
            <w:r w:rsidRPr="009E7B0C">
              <w:rPr>
                <w:color w:val="0F172B"/>
                <w:lang w:val="fi-FI"/>
              </w:rPr>
              <w:t>, jolloin määräysvalta lakkaa.</w:t>
            </w:r>
          </w:p>
        </w:tc>
      </w:tr>
    </w:tbl>
    <w:p w:rsidR="009E7B0C" w:rsidRPr="009E7B0C" w:rsidP="009E7B0C" w14:paraId="08053013" w14:textId="77777777">
      <w:pPr>
        <w:pStyle w:val="Bodytext2"/>
        <w:rPr>
          <w:color w:val="0F172B"/>
          <w:lang w:val="fi-FI"/>
        </w:rPr>
      </w:pPr>
    </w:p>
    <w:p w:rsidR="009E7B0C" w:rsidRPr="00BC2EED" w:rsidP="009E7B0C" w14:paraId="4A11FD0D" w14:textId="77777777">
      <w:pPr>
        <w:pStyle w:val="Heading13"/>
        <w:rPr>
          <w:lang w:val="fi-FI"/>
        </w:rPr>
      </w:pPr>
      <w:r w:rsidRPr="00BC2EED">
        <w:rPr>
          <w:lang w:val="fi-FI"/>
        </w:rPr>
        <w:t>2020</w:t>
      </w:r>
    </w:p>
    <w:p w:rsidR="00BC2EED" w:rsidP="00BC2EED" w14:paraId="538E064D" w14:textId="5F2B5279">
      <w:pPr>
        <w:pStyle w:val="Bodytext2"/>
        <w:rPr>
          <w:color w:val="0F172B"/>
          <w:lang w:val="fi-FI"/>
        </w:rPr>
      </w:pPr>
      <w:r w:rsidRPr="00BC2EED">
        <w:rPr>
          <w:color w:val="0F172B"/>
          <w:lang w:val="fi-FI"/>
        </w:rPr>
        <w:t>Lokakuussa Wärtsilä myi 100% omistamansa Wärtsilä JOVYATLAS GmbH:n osakkeista saksalaiselle teollisuusyhtiölle Jacob Waitz Industrie GmbH:lle. Wärtsilä JOVYATLAS tarjosi keskeytymättömän virransyötön järjestelmiä, tasasuuntaajia, muuntajia, taajuusmuuttaji</w:t>
      </w:r>
      <w:r w:rsidRPr="00BC2EED">
        <w:rPr>
          <w:color w:val="0F172B"/>
          <w:lang w:val="fi-FI"/>
        </w:rPr>
        <w:t>a ja vastuksia sekä niihin liittyviä palveluita. Yhtiön liikevaihto oli 20 milj</w:t>
      </w:r>
      <w:r>
        <w:rPr>
          <w:color w:val="0F172B"/>
          <w:lang w:val="fi-FI"/>
        </w:rPr>
        <w:t>.</w:t>
      </w:r>
      <w:r w:rsidRPr="00BC2EED">
        <w:rPr>
          <w:color w:val="0F172B"/>
          <w:lang w:val="fi-FI"/>
        </w:rPr>
        <w:t xml:space="preserve"> euroa vuonna 2019. Yritysmyynnin vaikutus tilikauden tulokseen on noin -6 milj</w:t>
      </w:r>
      <w:r>
        <w:rPr>
          <w:color w:val="0F172B"/>
          <w:lang w:val="fi-FI"/>
        </w:rPr>
        <w:t>.</w:t>
      </w:r>
      <w:r w:rsidRPr="00BC2EED">
        <w:rPr>
          <w:color w:val="0F172B"/>
          <w:lang w:val="fi-FI"/>
        </w:rPr>
        <w:t xml:space="preserve"> euroa.</w:t>
      </w:r>
    </w:p>
    <w:p w:rsidR="00BC2EED" w:rsidRPr="00BC2EED" w:rsidP="00BC2EED" w14:paraId="7FD66132" w14:textId="77777777">
      <w:pPr>
        <w:pStyle w:val="Bodytext2"/>
        <w:rPr>
          <w:color w:val="0F172B"/>
          <w:lang w:val="fi-FI"/>
        </w:rPr>
      </w:pPr>
    </w:p>
    <w:p w:rsidR="00BC2EED" w:rsidP="00BC2EED" w14:paraId="0A948E25" w14:textId="44B0CCA7">
      <w:pPr>
        <w:pStyle w:val="Bodytext2"/>
        <w:rPr>
          <w:color w:val="0F172B"/>
          <w:lang w:val="fi-FI"/>
        </w:rPr>
      </w:pPr>
      <w:r w:rsidRPr="00BC2EED">
        <w:rPr>
          <w:color w:val="0F172B"/>
          <w:lang w:val="fi-FI"/>
        </w:rPr>
        <w:t>Myöskin lokakuussa Wärtsilä myi 100% omistamansa Wärtsilä Valves Ltd -yhtiön osakkeista</w:t>
      </w:r>
      <w:r w:rsidRPr="00BC2EED">
        <w:rPr>
          <w:color w:val="0F172B"/>
          <w:lang w:val="fi-FI"/>
        </w:rPr>
        <w:t xml:space="preserve"> New Yorkissa, Yhdysvalloissa, sijaitsevalle Evergreen Capital L.P.:lle. Myydyn yhtiön toiminnot sisälsivät nikkelialumiinipronssi- ja erikoisteräsventtiilien suunnittelun, kokoonpanon, testauksen, myynnin ja toimituksen merenkulku-, öljy- ja kaasu sekä en</w:t>
      </w:r>
      <w:r w:rsidRPr="00BC2EED">
        <w:rPr>
          <w:color w:val="0F172B"/>
          <w:lang w:val="fi-FI"/>
        </w:rPr>
        <w:t>ergiamarkkinoille. Lisäksi se tarjo</w:t>
      </w:r>
      <w:r>
        <w:rPr>
          <w:color w:val="0F172B"/>
          <w:lang w:val="fi-FI"/>
        </w:rPr>
        <w:t>si</w:t>
      </w:r>
      <w:r w:rsidRPr="00BC2EED">
        <w:rPr>
          <w:color w:val="0F172B"/>
          <w:lang w:val="fi-FI"/>
        </w:rPr>
        <w:t xml:space="preserve"> venttiilituotesovelluksia FPSO-aluksille, petrokemian laitoksille, voimantuotantoon, merivoimille, jätevedenpuhdistamoille ja putkistoihin. Yhtiön liikevaihto oli noin 15 milj</w:t>
      </w:r>
      <w:r>
        <w:rPr>
          <w:color w:val="0F172B"/>
          <w:lang w:val="fi-FI"/>
        </w:rPr>
        <w:t>.</w:t>
      </w:r>
      <w:r w:rsidRPr="00BC2EED">
        <w:rPr>
          <w:color w:val="0F172B"/>
          <w:lang w:val="fi-FI"/>
        </w:rPr>
        <w:t xml:space="preserve"> euroa vuonna 2019. Yritysmyynnin vaikutus</w:t>
      </w:r>
      <w:r w:rsidRPr="00BC2EED">
        <w:rPr>
          <w:color w:val="0F172B"/>
          <w:lang w:val="fi-FI"/>
        </w:rPr>
        <w:t xml:space="preserve"> tilikauden tulokseen on noin -10 milj</w:t>
      </w:r>
      <w:r>
        <w:rPr>
          <w:color w:val="0F172B"/>
          <w:lang w:val="fi-FI"/>
        </w:rPr>
        <w:t>.</w:t>
      </w:r>
      <w:r w:rsidRPr="00BC2EED">
        <w:rPr>
          <w:color w:val="0F172B"/>
          <w:lang w:val="fi-FI"/>
        </w:rPr>
        <w:t xml:space="preserve"> euroa.</w:t>
      </w:r>
    </w:p>
    <w:p w:rsidR="00BC2EED" w:rsidRPr="00BC2EED" w:rsidP="00BC2EED" w14:paraId="7F8BFE57" w14:textId="77777777">
      <w:pPr>
        <w:pStyle w:val="Bodytext2"/>
        <w:rPr>
          <w:color w:val="0F172B"/>
          <w:lang w:val="fi-FI"/>
        </w:rPr>
      </w:pPr>
    </w:p>
    <w:p w:rsidR="00BC2EED" w:rsidRPr="00BC2EED" w:rsidP="00BC2EED" w14:paraId="001DD093" w14:textId="3DE91C09">
      <w:pPr>
        <w:pStyle w:val="Bodytext2"/>
        <w:rPr>
          <w:color w:val="0F172B"/>
          <w:lang w:val="fi-FI"/>
        </w:rPr>
      </w:pPr>
      <w:r w:rsidRPr="00BC2EED">
        <w:rPr>
          <w:color w:val="0F172B"/>
          <w:lang w:val="fi-FI"/>
        </w:rPr>
        <w:t xml:space="preserve">Joulukuussa 2020 Wärtsilä </w:t>
      </w:r>
      <w:r>
        <w:rPr>
          <w:color w:val="0F172B"/>
          <w:lang w:val="fi-FI"/>
        </w:rPr>
        <w:t>sai</w:t>
      </w:r>
      <w:r w:rsidRPr="00BC2EED">
        <w:rPr>
          <w:color w:val="0F172B"/>
          <w:lang w:val="fi-FI"/>
        </w:rPr>
        <w:t xml:space="preserve"> päätökseen Wärtsilä ELAC Nautik GmbH:n (ELAC Nautik) osakkeiden myynnin Cohort plc:lle. Osakkeiden luopumisesta ilmoitettiin alun perin joulukuussa 2019. ELAC Nautikin pain</w:t>
      </w:r>
      <w:r w:rsidRPr="00BC2EED">
        <w:rPr>
          <w:color w:val="0F172B"/>
          <w:lang w:val="fi-FI"/>
        </w:rPr>
        <w:t>opisteenä markkinoilla olivat kaikuluotaimet, mukaan lukien ääniluotaimet, vedenalaiset viestintäjärjestelmät sekä kaikujärjestelmät pienille ja keskikokoisille asevoimien sukellusveneille. Yhtiön liikevaihto oli noin 21 milj</w:t>
      </w:r>
      <w:r>
        <w:rPr>
          <w:color w:val="0F172B"/>
          <w:lang w:val="fi-FI"/>
        </w:rPr>
        <w:t>.</w:t>
      </w:r>
      <w:r w:rsidRPr="00BC2EED">
        <w:rPr>
          <w:color w:val="0F172B"/>
          <w:lang w:val="fi-FI"/>
        </w:rPr>
        <w:t xml:space="preserve"> euroa vuonna 2019. Yritysmyyn</w:t>
      </w:r>
      <w:r w:rsidRPr="00BC2EED">
        <w:rPr>
          <w:color w:val="0F172B"/>
          <w:lang w:val="fi-FI"/>
        </w:rPr>
        <w:t>nin vaikutus tilikauden tulokseen ei ole olennainen.</w:t>
      </w:r>
    </w:p>
    <w:p w:rsidR="00BC2EED" w:rsidP="00BC2EED" w14:paraId="4F624CCF" w14:textId="77777777">
      <w:pPr>
        <w:pStyle w:val="Bodytext2"/>
        <w:rPr>
          <w:color w:val="0F172B"/>
          <w:lang w:val="fi-FI"/>
        </w:rPr>
      </w:pPr>
    </w:p>
    <w:p w:rsidR="00BC2EED" w:rsidRPr="00BC2EED" w:rsidP="00BC2EED" w14:paraId="12D7548C" w14:textId="38A93BA7">
      <w:pPr>
        <w:pStyle w:val="Bodytext2"/>
        <w:rPr>
          <w:color w:val="0F172B"/>
          <w:lang w:val="fi-FI"/>
        </w:rPr>
      </w:pPr>
      <w:r w:rsidRPr="00BC2EED">
        <w:rPr>
          <w:color w:val="0F172B"/>
          <w:lang w:val="fi-FI"/>
        </w:rPr>
        <w:t>Kaikki myydyt liiketoiminnat kuuluivat Porfolio Businessiin.</w:t>
      </w:r>
    </w:p>
    <w:p w:rsidR="00582B05" w:rsidRPr="00582B05" w:rsidP="00582B05" w14:paraId="7D25DCD3" w14:textId="77777777">
      <w:pPr>
        <w:pStyle w:val="Bodytext2"/>
        <w:rPr>
          <w:color w:val="0F172B"/>
          <w:lang w:val="fi-FI"/>
        </w:rPr>
      </w:pPr>
    </w:p>
    <w:p w:rsidR="009E7B0C" w:rsidP="009E7B0C" w14:paraId="5BE030F7" w14:textId="77777777">
      <w:pPr>
        <w:pStyle w:val="Heading13"/>
      </w:pPr>
      <w:r>
        <w:t>2019</w:t>
      </w:r>
    </w:p>
    <w:p w:rsidR="004A0DF2" w:rsidRPr="009E7B0C" w:rsidP="009E7B0C" w14:textId="06FCB944">
      <w:pPr>
        <w:pStyle w:val="Bodytext2"/>
        <w:rPr>
          <w:color w:val="0F172B"/>
        </w:rPr>
      </w:pPr>
      <w:r>
        <w:rPr>
          <w:color w:val="0F172B"/>
        </w:rPr>
        <w:t>Vuonna 2019 ei ollut yritysmyyntejä</w:t>
      </w:r>
      <w:r w:rsidR="009E7B0C">
        <w:rPr>
          <w:color w:val="0F172B"/>
        </w:rPr>
        <w:t>.</w:t>
      </w:r>
    </w:p>
    <w:p/>
    <w:p w:rsidR="00432E25" w:rsidP="00432E25" w14:paraId="46939836" w14:textId="67CFC493">
      <w:pPr>
        <w:pStyle w:val="Heading12"/>
      </w:pPr>
      <w:bookmarkStart w:id="1160" w:name="RG_MARKER_4706"/>
      <w:r>
        <w:t>6.3. MYYTÄVÄNÄ OLEVAT OMAISUUSERÄT</w:t>
      </w:r>
      <w:bookmarkEnd w:id="1160"/>
    </w:p>
    <w:tbl>
      <w:tblPr>
        <w:tblStyle w:val="TableGrid"/>
        <w:tblW w:w="7371" w:type="dxa"/>
        <w:tblLook w:val="04A0"/>
      </w:tblPr>
      <w:tblGrid>
        <w:gridCol w:w="7371"/>
      </w:tblGrid>
      <w:tr w14:paraId="0E3546DD" w14:textId="77777777" w:rsidTr="00432E25">
        <w:tblPrEx>
          <w:tblW w:w="7371" w:type="dxa"/>
          <w:tblLook w:val="04A0"/>
        </w:tblPrEx>
        <w:tc>
          <w:tcPr>
            <w:tcW w:w="7371" w:type="dxa"/>
            <w:tcBorders>
              <w:top w:val="nil"/>
              <w:left w:val="nil"/>
              <w:bottom w:val="nil"/>
              <w:right w:val="nil"/>
            </w:tcBorders>
            <w:shd w:val="clear" w:color="auto" w:fill="B6C8D1"/>
          </w:tcPr>
          <w:p w:rsidR="00432E25" w:rsidRPr="00705109" w14:paraId="27431AFF" w14:textId="3B951B30">
            <w:pPr>
              <w:pStyle w:val="Heading13"/>
              <w:rPr>
                <w:rFonts w:eastAsiaTheme="minorEastAsia"/>
                <w:lang w:val="fi-FI" w:eastAsia="fi-FI"/>
              </w:rPr>
            </w:pPr>
            <w:r w:rsidRPr="00705109">
              <w:rPr>
                <w:rFonts w:eastAsiaTheme="minorEastAsia"/>
                <w:lang w:val="fi-FI" w:eastAsia="fi-FI"/>
              </w:rPr>
              <w:t>Laadintaperiaatteet</w:t>
            </w:r>
          </w:p>
          <w:p w:rsidR="00432E25" w:rsidP="00432E25" w14:paraId="229C9FEB" w14:textId="6EB74AB6">
            <w:pPr>
              <w:pStyle w:val="Bodytext2"/>
              <w:rPr>
                <w:lang w:val="fi-FI" w:eastAsia="fi-FI"/>
              </w:rPr>
            </w:pPr>
            <w:r w:rsidRPr="00432E25">
              <w:rPr>
                <w:lang w:val="fi-FI" w:eastAsia="fi-FI"/>
              </w:rPr>
              <w:t xml:space="preserve">Pitkäaikaiset omaisuuserät sekä lopetettuihin toimintoihin liittyvät varat ja velat luokitellaan myytävänä oleviksi, jos niiden kirjanpitoarvoja vastaavan määrän odotetaan kertyvän </w:t>
            </w:r>
            <w:r w:rsidRPr="00432E25">
              <w:rPr>
                <w:lang w:val="fi-FI" w:eastAsia="fi-FI"/>
              </w:rPr>
              <w:t>ensisijaisesti myynnistä sen sijaan, että ne kertyisivät jatkuvan käytön seurauksena. Luokittelu myytävänä olevaksi edellyttää seuraavien ehtojen täyttymistä: myynnin on oltava erittäin todennäköinen, omaisuuserän on oltava nykyisessä kunnossaan välittömäs</w:t>
            </w:r>
            <w:r w:rsidRPr="00432E25">
              <w:rPr>
                <w:lang w:val="fi-FI" w:eastAsia="fi-FI"/>
              </w:rPr>
              <w:t>ti myytävissä tavanomaisin ehdoin, johdon on oltava sitoutunut omaisuuserän myyntiin ja myynnin voidaan odottaa toteutuvan vuoden sisällä luokittelusta.</w:t>
            </w:r>
          </w:p>
          <w:p w:rsidR="00432E25" w:rsidRPr="00432E25" w:rsidP="00432E25" w14:paraId="08BA2626" w14:textId="77777777">
            <w:pPr>
              <w:pStyle w:val="Bodytext2"/>
              <w:rPr>
                <w:lang w:val="fi-FI" w:eastAsia="fi-FI"/>
              </w:rPr>
            </w:pPr>
          </w:p>
          <w:p w:rsidR="00432E25" w:rsidP="00432E25" w14:paraId="6DAFACF2" w14:textId="071D6531">
            <w:pPr>
              <w:pStyle w:val="Bodytext2"/>
              <w:rPr>
                <w:lang w:val="fi-FI" w:eastAsia="fi-FI"/>
              </w:rPr>
            </w:pPr>
            <w:r w:rsidRPr="00432E25">
              <w:rPr>
                <w:lang w:val="fi-FI" w:eastAsia="fi-FI"/>
              </w:rPr>
              <w:t>Ennen kuin omaisuuserä tai luovutettavien erien ryhmään kuuluvat varat ja velat luokitellaan myytävänä</w:t>
            </w:r>
            <w:r w:rsidRPr="00432E25">
              <w:rPr>
                <w:lang w:val="fi-FI" w:eastAsia="fi-FI"/>
              </w:rPr>
              <w:t xml:space="preserve"> olevaksi, niiden kirjanpitoarvot määritetään niihin sovellettavien IFRS-standardien mukaisesti. Luokittelupäivästä alkaen myytävänä olevat pitkäaikaiset omaisuuserät on arvostettava kirjanpitoarvoon tai käypään arvoon vähennettynä myynnistä aiheutuneilla </w:t>
            </w:r>
            <w:r w:rsidRPr="00432E25">
              <w:rPr>
                <w:lang w:val="fi-FI" w:eastAsia="fi-FI"/>
              </w:rPr>
              <w:t>menoilla sen mukaan, kumpi näistä on alempi. Samalla poistot ja hankintamenon jaksotukset on lopetettava.</w:t>
            </w:r>
          </w:p>
          <w:p w:rsidR="00432E25" w:rsidRPr="00432E25" w:rsidP="00432E25" w14:paraId="50FC802B" w14:textId="77777777">
            <w:pPr>
              <w:pStyle w:val="Bodytext2"/>
              <w:rPr>
                <w:lang w:val="fi-FI" w:eastAsia="fi-FI"/>
              </w:rPr>
            </w:pPr>
          </w:p>
          <w:p w:rsidR="00432E25" w:rsidRPr="00432E25" w14:paraId="5668D160" w14:textId="22A7F0D1">
            <w:pPr>
              <w:pStyle w:val="Bodytext2"/>
              <w:rPr>
                <w:lang w:val="fi-FI" w:eastAsia="fi-FI"/>
              </w:rPr>
            </w:pPr>
            <w:r w:rsidRPr="00432E25">
              <w:rPr>
                <w:lang w:val="fi-FI" w:eastAsia="fi-FI"/>
              </w:rPr>
              <w:t>Myytävänä olevat omaisuuserät esitetään omalla rivillään konsernin taseessa vertailukauden lukuja oikaisematta.</w:t>
            </w:r>
          </w:p>
        </w:tc>
      </w:tr>
    </w:tbl>
    <w:p w:rsidR="00432E25" w:rsidRPr="00705109" w:rsidP="00432E25" w14:paraId="2CEC50D9" w14:textId="77777777">
      <w:pPr>
        <w:pStyle w:val="Bodytext2"/>
        <w:rPr>
          <w:color w:val="0F172B"/>
          <w:lang w:val="fi-FI"/>
        </w:rPr>
      </w:pPr>
    </w:p>
    <w:p w:rsidR="00432E25" w:rsidRPr="00705109" w:rsidP="00432E25" w14:paraId="00E65008" w14:textId="77777777">
      <w:pPr>
        <w:pStyle w:val="Heading13"/>
        <w:rPr>
          <w:lang w:val="fi-FI"/>
        </w:rPr>
      </w:pPr>
      <w:r w:rsidRPr="00705109">
        <w:rPr>
          <w:lang w:val="fi-FI"/>
        </w:rPr>
        <w:t>2020</w:t>
      </w:r>
    </w:p>
    <w:p w:rsidR="00550A3C" w:rsidRPr="00550A3C" w:rsidP="00550A3C" w14:paraId="0EF03F1B" w14:textId="58FF769E">
      <w:pPr>
        <w:pStyle w:val="Bodytext2"/>
        <w:rPr>
          <w:color w:val="0F172B"/>
          <w:lang w:val="fi-FI"/>
        </w:rPr>
      </w:pPr>
      <w:r w:rsidRPr="00550A3C">
        <w:rPr>
          <w:color w:val="0F172B"/>
          <w:lang w:val="fi-FI"/>
        </w:rPr>
        <w:t>Wärtsilä on luokitellut viihde</w:t>
      </w:r>
      <w:r w:rsidRPr="00550A3C">
        <w:rPr>
          <w:color w:val="0F172B"/>
          <w:lang w:val="fi-FI"/>
        </w:rPr>
        <w:t>järjestelmät- sekä säiliönohjausjärjestelmät-liiketoiminnot myytävänä olev</w:t>
      </w:r>
      <w:r>
        <w:rPr>
          <w:color w:val="0F172B"/>
          <w:lang w:val="fi-FI"/>
        </w:rPr>
        <w:t>i</w:t>
      </w:r>
      <w:r w:rsidRPr="00550A3C">
        <w:rPr>
          <w:color w:val="0F172B"/>
          <w:lang w:val="fi-FI"/>
        </w:rPr>
        <w:t>ksi omaisuuser</w:t>
      </w:r>
      <w:r>
        <w:rPr>
          <w:color w:val="0F172B"/>
          <w:lang w:val="fi-FI"/>
        </w:rPr>
        <w:t>i</w:t>
      </w:r>
      <w:r w:rsidRPr="00550A3C">
        <w:rPr>
          <w:color w:val="0F172B"/>
          <w:lang w:val="fi-FI"/>
        </w:rPr>
        <w:t>ksi. Viihdejärjestelmät-liiketoiminta on luokiteltu myytävänä olevaksi omaisuuseräksi vuoden 2019 viimeisestä neljänneksestä alkaen ja säiliönohjausjärjestelmät-liike</w:t>
      </w:r>
      <w:r w:rsidRPr="00550A3C">
        <w:rPr>
          <w:color w:val="0F172B"/>
          <w:lang w:val="fi-FI"/>
        </w:rPr>
        <w:t>toiminta vuoden 2020 toisesta neljänneksestä alkaen. Myynnit odotetaan saatavan päätökseen vuoden 2021 ensimmäisen puoliskon aikana.</w:t>
      </w:r>
    </w:p>
    <w:p w:rsidR="00550A3C" w:rsidP="00550A3C" w14:paraId="10E816DC" w14:textId="77777777">
      <w:pPr>
        <w:pStyle w:val="Bodytext2"/>
        <w:rPr>
          <w:color w:val="0F172B"/>
          <w:lang w:val="fi-FI"/>
        </w:rPr>
      </w:pPr>
    </w:p>
    <w:p w:rsidR="00550A3C" w:rsidRPr="00550A3C" w:rsidP="00550A3C" w14:paraId="31B1A5BB" w14:textId="73AEB87A">
      <w:pPr>
        <w:pStyle w:val="Bodytext2"/>
        <w:rPr>
          <w:color w:val="0F172B"/>
          <w:lang w:val="fi-FI"/>
        </w:rPr>
      </w:pPr>
      <w:r w:rsidRPr="00550A3C">
        <w:rPr>
          <w:color w:val="0F172B"/>
          <w:lang w:val="fi-FI"/>
        </w:rPr>
        <w:t>Lisäksi Wärtsilä on aloittanut valmistelut, jotka tähtäävät Wärtsilä EUROATLAS GmbH:n myyntiin. Myös Wärtsilä EUROATLAS Gm</w:t>
      </w:r>
      <w:r w:rsidRPr="00550A3C">
        <w:rPr>
          <w:color w:val="0F172B"/>
          <w:lang w:val="fi-FI"/>
        </w:rPr>
        <w:t>bH on luokiteltu myytävänä olevaksi omaisuuseräksi. Myynti odotetaan saatavan päätökseen vuoden 2021 toisen puoliskon aikana. Vaikutus raportointikauden tulokseen on noin -6 milj. euroa.</w:t>
      </w:r>
    </w:p>
    <w:p w:rsidR="00550A3C" w:rsidP="00550A3C" w14:paraId="4C9D67EE" w14:textId="77777777">
      <w:pPr>
        <w:pStyle w:val="Bodytext2"/>
        <w:rPr>
          <w:color w:val="0F172B"/>
          <w:lang w:val="fi-FI"/>
        </w:rPr>
      </w:pPr>
    </w:p>
    <w:p w:rsidR="00550A3C" w:rsidRPr="00550A3C" w:rsidP="00550A3C" w14:paraId="072FD63F" w14:textId="32C1B730">
      <w:pPr>
        <w:pStyle w:val="Bodytext2"/>
        <w:rPr>
          <w:color w:val="0F172B"/>
          <w:lang w:val="fi-FI"/>
        </w:rPr>
      </w:pPr>
      <w:r w:rsidRPr="00550A3C">
        <w:rPr>
          <w:color w:val="0F172B"/>
          <w:lang w:val="fi-FI"/>
        </w:rPr>
        <w:t xml:space="preserve">Kaikki myytävänä olevat omaisuuserät kuuluvat Portfolio Businessiin </w:t>
      </w:r>
      <w:r w:rsidRPr="00550A3C">
        <w:rPr>
          <w:color w:val="0F172B"/>
          <w:lang w:val="fi-FI"/>
        </w:rPr>
        <w:t>ja ne on arvostettu kirjanpitoarvoon tai käypään arvoon, kumpi näistä on alempi.</w:t>
      </w:r>
    </w:p>
    <w:p w:rsidR="00997309" w:rsidRPr="00705109" w:rsidP="00432E25" w14:paraId="27AA72CC" w14:textId="77777777">
      <w:pPr>
        <w:pStyle w:val="Heading13"/>
        <w:rPr>
          <w:lang w:val="fi-FI"/>
        </w:rPr>
      </w:pPr>
    </w:p>
    <w:p w:rsidR="00432E25" w:rsidRPr="00705109" w:rsidP="00432E25" w14:paraId="3A0A5B35" w14:textId="05584DB9">
      <w:pPr>
        <w:pStyle w:val="Heading13"/>
        <w:rPr>
          <w:lang w:val="fi-FI"/>
        </w:rPr>
      </w:pPr>
      <w:r w:rsidRPr="00705109">
        <w:rPr>
          <w:lang w:val="fi-FI"/>
        </w:rPr>
        <w:t>2019</w:t>
      </w:r>
    </w:p>
    <w:p w:rsidR="00997309" w:rsidRPr="00997309" w:rsidP="00997309" w14:paraId="200D2028" w14:textId="77777777">
      <w:pPr>
        <w:pStyle w:val="Bodytext2"/>
        <w:rPr>
          <w:lang w:val="fi-FI"/>
        </w:rPr>
      </w:pPr>
      <w:r w:rsidRPr="00997309">
        <w:rPr>
          <w:lang w:val="fi-FI"/>
        </w:rPr>
        <w:t>Joulukuussa Wärtsilä ilmoitti myyvänsä omistamansa Wärtsilä ELAC Nautik GmbH:n (ELAC Nautik) osakkeet Iso-Britannian pörssiin listatulle Cohort plc:lle. ELAC Nautikin painopisteenä markkinoilla ovat kaikuluotaimet, mukaan lukien ääniluotaimet, vedenalaiset</w:t>
      </w:r>
      <w:r w:rsidRPr="00997309">
        <w:rPr>
          <w:lang w:val="fi-FI"/>
        </w:rPr>
        <w:t xml:space="preserve"> viestintäjärjestelmät sekä kaikujärjestelmät pienille ja keskikokoisille asevoimien sukellusveneille.</w:t>
      </w:r>
    </w:p>
    <w:p w:rsidR="00997309" w:rsidRPr="00997309" w:rsidP="00997309" w14:paraId="32975BD3" w14:textId="77777777">
      <w:pPr>
        <w:pStyle w:val="Bodytext2"/>
        <w:rPr>
          <w:lang w:val="fi-FI"/>
        </w:rPr>
      </w:pPr>
    </w:p>
    <w:p w:rsidR="00997309" w:rsidRPr="00997309" w:rsidP="00997309" w14:paraId="73AA7774" w14:textId="77777777">
      <w:pPr>
        <w:pStyle w:val="Bodytext2"/>
        <w:rPr>
          <w:lang w:val="fi-FI"/>
        </w:rPr>
      </w:pPr>
      <w:r w:rsidRPr="00997309">
        <w:rPr>
          <w:lang w:val="fi-FI"/>
        </w:rPr>
        <w:t xml:space="preserve">Smart Marine Ecosystem -konseptinsa kautta Wärtsilä johtaa meriteollisuuden siirtymistä uuteen aikakauteen, jolle on </w:t>
      </w:r>
      <w:r w:rsidRPr="00997309">
        <w:rPr>
          <w:lang w:val="fi-FI"/>
        </w:rPr>
        <w:t xml:space="preserve">ominaista korkea tehokkuus, parannettu turvallisuus ja merkittävä ympäristövastuu. Tämä on Marine -liiketoiminnan ydinstrategia, ja koska ELAC Nautik -liiketoiminnalla ei ole selkeää synergistä yhteyttä Wärtsilän </w:t>
      </w:r>
      <w:r w:rsidRPr="00997309">
        <w:rPr>
          <w:lang w:val="fi-FI"/>
        </w:rPr>
        <w:t>Smart Marine -toimintaan merenkulkusektorin</w:t>
      </w:r>
      <w:r w:rsidRPr="00997309">
        <w:rPr>
          <w:lang w:val="fi-FI"/>
        </w:rPr>
        <w:t xml:space="preserve"> uudistamisessa, liiketoimintavalikoimaa mukautetaan sisältämään ne kasvualat, jotka voivat edistää tätä muutosta.</w:t>
      </w:r>
    </w:p>
    <w:p w:rsidR="00997309" w:rsidRPr="00997309" w:rsidP="00997309" w14:paraId="6DB59A1E" w14:textId="77777777">
      <w:pPr>
        <w:pStyle w:val="Bodytext2"/>
        <w:rPr>
          <w:lang w:val="fi-FI"/>
        </w:rPr>
      </w:pPr>
    </w:p>
    <w:p w:rsidR="00997309" w:rsidRPr="00997309" w:rsidP="00997309" w14:paraId="6AE67033" w14:textId="77777777">
      <w:pPr>
        <w:pStyle w:val="Bodytext2"/>
        <w:rPr>
          <w:lang w:val="fi-FI"/>
        </w:rPr>
      </w:pPr>
      <w:r w:rsidRPr="00997309">
        <w:rPr>
          <w:lang w:val="fi-FI"/>
        </w:rPr>
        <w:t>Lisäksi Wärtsilä on aloittanut valmistelut, jotka tähtäävät viihdejärjestelmä-liiketoiminnan myyntiin. Myös se on luokiteltu myytävänä oleva</w:t>
      </w:r>
      <w:r w:rsidRPr="00997309">
        <w:rPr>
          <w:lang w:val="fi-FI"/>
        </w:rPr>
        <w:t>ksi omaisuuseräksi.</w:t>
      </w:r>
    </w:p>
    <w:p w:rsidR="00997309" w:rsidRPr="00997309" w:rsidP="00997309" w14:paraId="256B45BF" w14:textId="77777777">
      <w:pPr>
        <w:pStyle w:val="Bodytext2"/>
        <w:rPr>
          <w:lang w:val="fi-FI"/>
        </w:rPr>
      </w:pPr>
    </w:p>
    <w:p w:rsidR="00997309" w:rsidRPr="00997309" w:rsidP="00997309" w14:paraId="1F5F758C" w14:textId="77777777">
      <w:pPr>
        <w:pStyle w:val="Bodytext2"/>
        <w:rPr>
          <w:lang w:val="fi-FI"/>
        </w:rPr>
      </w:pPr>
      <w:r w:rsidRPr="00997309">
        <w:rPr>
          <w:lang w:val="fi-FI"/>
        </w:rPr>
        <w:t>Myytävänä olevat omaisuuserät kuuluvat Wärtsilä Marine -liiketoimintasegmenttiin ja ne on arvostettu kirjanpitoarvoon tai käypäään arvoon, kumpi näistä on alempi.</w:t>
      </w:r>
    </w:p>
    <w:p w:rsidR="00997309" w:rsidRPr="00997309" w:rsidP="00997309" w14:paraId="2C2D4870" w14:textId="77777777">
      <w:pPr>
        <w:pStyle w:val="Bodytext2"/>
        <w:rPr>
          <w:lang w:val="fi-FI"/>
        </w:rPr>
      </w:pPr>
    </w:p>
    <w:p w:rsidR="00432E25" w:rsidP="00997309" w14:paraId="34C1968E" w14:textId="2E8FC6C5">
      <w:pPr>
        <w:pStyle w:val="Bodytext2"/>
        <w:rPr>
          <w:lang w:val="fi-FI"/>
        </w:rPr>
      </w:pPr>
      <w:r w:rsidRPr="00997309">
        <w:rPr>
          <w:lang w:val="fi-FI"/>
        </w:rPr>
        <w:t>Kaupat edellyttävät hyväksyntöjä, ja ne odotetaan saatavan päätökseen v</w:t>
      </w:r>
      <w:r w:rsidRPr="00997309">
        <w:rPr>
          <w:lang w:val="fi-FI"/>
        </w:rPr>
        <w:t>uoden 2020 alkupuolella.</w:t>
      </w:r>
    </w:p>
    <w:p w:rsidR="00997309" w:rsidRPr="00997309" w:rsidP="00997309" w14:paraId="5CC94C35" w14:textId="77777777">
      <w:pPr>
        <w:pStyle w:val="Bodytext2"/>
        <w:rPr>
          <w:lang w:val="fi-FI"/>
        </w:rPr>
      </w:pPr>
    </w:p>
    <w:p w:rsidR="00432E25" w:rsidP="00432E25" w14:paraId="01B9A5A6" w14:textId="714EC2CF">
      <w:pPr>
        <w:pStyle w:val="Heading13"/>
      </w:pPr>
      <w:r>
        <w:t>Tase-erät</w:t>
      </w:r>
    </w:p>
    <w:tbl>
      <w:tblPr>
        <w:tblStyle w:val="TableNormal"/>
        <w:tblCaption w:val="table_63_cur"/>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Liikearvo</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24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aineettomat hyödykkeet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Aineelliset hyödykkeet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Käyttöoikeusomaisuuserät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Laskennalliset verosaamiset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Vaihto-omaisuus</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 lyhytaikaiset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Rahavarat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Myytävänä olevat omaisuuserät</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105</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00000"/>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Varojen alaskirjaus</w:t>
            </w:r>
          </w:p>
        </w:tc>
        <w:tc>
          <w:tcPr>
            <w:tcW w:w="1245" w:type="dxa"/>
            <w:tcBorders>
              <w:top w:val="single" w:sz="4" w:space="0" w:color="004A6B"/>
              <w:left w:val="nil"/>
              <w:bottom w:val="single" w:sz="8" w:space="0" w:color="000000"/>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8" w:space="0" w:color="000000"/>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00000"/>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Myytävänä olevat omaisuuserät, netto</w:t>
            </w:r>
          </w:p>
        </w:tc>
        <w:tc>
          <w:tcPr>
            <w:tcW w:w="1245" w:type="dxa"/>
            <w:tcBorders>
              <w:top w:val="single" w:sz="8" w:space="0" w:color="000000"/>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99</w:t>
            </w:r>
          </w:p>
        </w:tc>
        <w:tc>
          <w:tcPr>
            <w:tcW w:w="1245" w:type="dxa"/>
            <w:tcBorders>
              <w:top w:val="single" w:sz="8" w:space="0" w:color="000000"/>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82</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 pitkäaikaiset</w:t>
            </w:r>
          </w:p>
        </w:tc>
        <w:tc>
          <w:tcPr>
            <w:tcW w:w="124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Laskennalliset verovelat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velat, pitkäaikaiset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velat, lyhytaikaiset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52</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47</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Myytävänä oleviin omaisuuseriin liittyvät velat</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68</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Nettovarat</w:t>
            </w:r>
          </w:p>
        </w:tc>
        <w:tc>
          <w:tcPr>
            <w:tcW w:w="124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w:t>
            </w:r>
          </w:p>
        </w:tc>
        <w:tc>
          <w:tcPr>
            <w:tcW w:w="124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bl>
    <w:p w:rsidR="00AD57B2" w:rsidP="00432E25" w14:paraId="532D3B58" w14:textId="094A8D57">
      <w:pPr>
        <w:pStyle w:val="Bodytext2"/>
        <w:rPr>
          <w:color w:val="0F172B"/>
        </w:rPr>
      </w:pPr>
    </w:p>
    <w:p w:rsidR="00693657" w:rsidRPr="00B36076" w:rsidP="00432E25" w14:paraId="7A8A0FEA" w14:textId="12C54203">
      <w:pPr>
        <w:pStyle w:val="Bodytext2"/>
        <w:rPr>
          <w:color w:val="0F172B"/>
          <w:sz w:val="2"/>
          <w:szCs w:val="2"/>
          <w:lang w:val="fi-FI"/>
        </w:rPr>
      </w:pPr>
      <w:r w:rsidRPr="00AD57B2">
        <w:rPr>
          <w:color w:val="0F172B"/>
          <w:lang w:val="fi-FI"/>
        </w:rPr>
        <w:t>Vuonna 2020</w:t>
      </w:r>
      <w:r>
        <w:rPr>
          <w:color w:val="0F172B"/>
          <w:lang w:val="fi-FI"/>
        </w:rPr>
        <w:t xml:space="preserve"> kirjattu</w:t>
      </w:r>
      <w:r w:rsidRPr="00AD57B2">
        <w:rPr>
          <w:color w:val="0F172B"/>
          <w:lang w:val="fi-FI"/>
        </w:rPr>
        <w:t xml:space="preserve"> varojen alaskirjaus -6 mi</w:t>
      </w:r>
      <w:r>
        <w:rPr>
          <w:color w:val="0F172B"/>
          <w:lang w:val="fi-FI"/>
        </w:rPr>
        <w:t>lj.</w:t>
      </w:r>
      <w:r w:rsidRPr="00AD57B2">
        <w:rPr>
          <w:color w:val="0F172B"/>
          <w:lang w:val="fi-FI"/>
        </w:rPr>
        <w:t xml:space="preserve"> euroa liittyy Wärtsilä EUROATLAS GmbH:n luokitteluun myytävänä ol</w:t>
      </w:r>
      <w:r>
        <w:rPr>
          <w:color w:val="0F172B"/>
          <w:lang w:val="fi-FI"/>
        </w:rPr>
        <w:t>evaksi omaisuuseräksi</w:t>
      </w:r>
      <w:r w:rsidRPr="00AD57B2">
        <w:rPr>
          <w:color w:val="0F172B"/>
          <w:lang w:val="fi-FI"/>
        </w:rPr>
        <w:t>. Kulu</w:t>
      </w:r>
      <w:r>
        <w:rPr>
          <w:color w:val="0F172B"/>
          <w:lang w:val="fi-FI"/>
        </w:rPr>
        <w:t xml:space="preserve"> on kirjattu</w:t>
      </w:r>
      <w:r w:rsidRPr="00AD57B2">
        <w:rPr>
          <w:color w:val="0F172B"/>
          <w:lang w:val="fi-FI"/>
        </w:rPr>
        <w:t xml:space="preserve"> tuloslaskelman</w:t>
      </w:r>
      <w:r>
        <w:rPr>
          <w:color w:val="0F172B"/>
          <w:lang w:val="fi-FI"/>
        </w:rPr>
        <w:t xml:space="preserve"> erään poistot ja arvonalentumis</w:t>
      </w:r>
      <w:r>
        <w:rPr>
          <w:color w:val="0F172B"/>
          <w:lang w:val="fi-FI"/>
        </w:rPr>
        <w:t>et.</w:t>
      </w:r>
      <w:r>
        <w:rPr>
          <w:color w:val="0F172B"/>
          <w:lang w:val="fi-FI"/>
        </w:rPr>
        <w:br w:type="column"/>
      </w:r>
    </w:p>
    <w:p w:rsidR="001D7267" w:rsidP="001D7267" w14:paraId="48A34BFC" w14:textId="77777777">
      <w:pPr>
        <w:pStyle w:val="Heading12"/>
      </w:pPr>
      <w:bookmarkStart w:id="1161" w:name="RG_MARKER_5460"/>
      <w:r>
        <w:t>6.4. SIJOITUKSET OSAKKUUS- JA YHTEISYRITYKSIIN</w:t>
      </w:r>
      <w:bookmarkEnd w:id="1161"/>
    </w:p>
    <w:tbl>
      <w:tblPr>
        <w:tblStyle w:val="TableGrid"/>
        <w:tblW w:w="7371" w:type="dxa"/>
        <w:tblLook w:val="04A0"/>
      </w:tblPr>
      <w:tblGrid>
        <w:gridCol w:w="7371"/>
      </w:tblGrid>
      <w:tr w14:paraId="0F66A808" w14:textId="77777777" w:rsidTr="001D7267">
        <w:tblPrEx>
          <w:tblW w:w="7371" w:type="dxa"/>
          <w:tblLook w:val="04A0"/>
        </w:tblPrEx>
        <w:tc>
          <w:tcPr>
            <w:tcW w:w="7371" w:type="dxa"/>
            <w:tcBorders>
              <w:top w:val="nil"/>
              <w:left w:val="nil"/>
              <w:bottom w:val="nil"/>
              <w:right w:val="nil"/>
            </w:tcBorders>
            <w:shd w:val="clear" w:color="auto" w:fill="B6C8D1"/>
          </w:tcPr>
          <w:p w:rsidR="001D7267" w14:paraId="3BA6D771" w14:textId="77777777">
            <w:pPr>
              <w:pStyle w:val="Heading13"/>
              <w:rPr>
                <w:rFonts w:eastAsiaTheme="minorEastAsia"/>
                <w:lang w:val="fi-FI" w:eastAsia="fi-FI"/>
              </w:rPr>
            </w:pPr>
            <w:r>
              <w:rPr>
                <w:rFonts w:eastAsiaTheme="minorEastAsia"/>
                <w:lang w:val="fi-FI" w:eastAsia="fi-FI"/>
              </w:rPr>
              <w:t>Laadintaperiaatteet</w:t>
            </w:r>
          </w:p>
          <w:p w:rsidR="001D7267" w14:paraId="0AA3DC2D" w14:textId="77777777">
            <w:pPr>
              <w:pStyle w:val="Bodytext2"/>
              <w:rPr>
                <w:lang w:val="fi-FI" w:eastAsia="fi-FI"/>
              </w:rPr>
            </w:pPr>
            <w:r>
              <w:rPr>
                <w:lang w:val="fi-FI" w:eastAsia="fi-FI"/>
              </w:rPr>
              <w:t>Osakkuusyritykset ovat yrityksiä, joissa konsernilla on huomattava vaikutusvalta mutta ei määräysvaltaa tai yhteistä määräysvaltaa. Huomattava vaikutusvalta merkitsee yleensä sitä, että konsernilla on 20–50% yrityksen äänivallasta.</w:t>
            </w:r>
          </w:p>
          <w:p w:rsidR="001D7267" w14:paraId="4B4260D2" w14:textId="77777777">
            <w:pPr>
              <w:pStyle w:val="Bodytext2"/>
              <w:rPr>
                <w:lang w:val="fi-FI" w:eastAsia="fi-FI"/>
              </w:rPr>
            </w:pPr>
          </w:p>
          <w:p w:rsidR="001D7267" w14:paraId="4C893427" w14:textId="77777777">
            <w:pPr>
              <w:pStyle w:val="Bodytext2"/>
              <w:rPr>
                <w:lang w:val="fi-FI" w:eastAsia="fi-FI"/>
              </w:rPr>
            </w:pPr>
            <w:r>
              <w:rPr>
                <w:lang w:val="fi-FI" w:eastAsia="fi-FI"/>
              </w:rPr>
              <w:t>Yhteisyritys on yhteisj</w:t>
            </w:r>
            <w:r>
              <w:rPr>
                <w:lang w:val="fi-FI" w:eastAsia="fi-FI"/>
              </w:rPr>
              <w:t>ärjestely, jonka mukaan osapuolilla, joilla on järjestelyssä yhteinen määräysvalta, on oikeuksia järjestelyn nettovarallisuuteen. Yhteinen määräysvalta perustuu osapuolten väliseen sopimukseen.</w:t>
            </w:r>
          </w:p>
          <w:p w:rsidR="001D7267" w14:paraId="46A28A2B" w14:textId="77777777">
            <w:pPr>
              <w:pStyle w:val="Bodytext2"/>
              <w:rPr>
                <w:lang w:val="fi-FI" w:eastAsia="fi-FI"/>
              </w:rPr>
            </w:pPr>
          </w:p>
          <w:p w:rsidR="001D7267" w14:paraId="649B70D4" w14:textId="77777777">
            <w:pPr>
              <w:pStyle w:val="Bodytext2"/>
              <w:rPr>
                <w:lang w:val="fi-FI" w:eastAsia="fi-FI"/>
              </w:rPr>
            </w:pPr>
            <w:r>
              <w:rPr>
                <w:lang w:val="fi-FI" w:eastAsia="fi-FI"/>
              </w:rPr>
              <w:t>Konsernin osuudet osakkuus- ja yhteisyrityksistä yhdistellään</w:t>
            </w:r>
            <w:r>
              <w:rPr>
                <w:lang w:val="fi-FI" w:eastAsia="fi-FI"/>
              </w:rPr>
              <w:t xml:space="preserve"> konsernitilinpäätökseen pääomaosuusmenetelmällä huomattavan vaikutusvallan tai yhteisen määräysvallan saamisesta lähtien sen päättymiseen saakka. Sijoitukset osakkuusyrityksiin kirjataan aluksi hankintamenoon, ja hankintameno kasvaa tai vähenee osakkuusyr</w:t>
            </w:r>
            <w:r>
              <w:rPr>
                <w:lang w:val="fi-FI" w:eastAsia="fi-FI"/>
              </w:rPr>
              <w:t xml:space="preserve">ityksen nettovaroissa hankintapäivän jälkeen tapahtuvien muutosten </w:t>
            </w:r>
            <w:r>
              <w:rPr>
                <w:lang w:val="fi-FI" w:eastAsia="fi-FI"/>
              </w:rPr>
              <w:t>perusteella suhteutettuna konsernin omistusosuuteen. Konsernin omistusosuuden mukainen osuus osakkuus- ja yhteisyritysten raportointikauden tuloksista on esitetty konsernin tuloslaskelmassa</w:t>
            </w:r>
            <w:r>
              <w:rPr>
                <w:lang w:val="fi-FI" w:eastAsia="fi-FI"/>
              </w:rPr>
              <w:t xml:space="preserve"> omana eränään ennen liiketulosta rivillä Osuus osakkuus- ja yhteisyritysten tuloksista. Konsernin osuus osakkuus- ja yhteisyritysten muihin laajan tuloksen eriin kirjatuista muutoksista on kirjattu konsernin muihin laajan tuloksen eriin. Wärtsilän osuus h</w:t>
            </w:r>
            <w:r>
              <w:rPr>
                <w:lang w:val="fi-FI" w:eastAsia="fi-FI"/>
              </w:rPr>
              <w:t>ankintapäivän jälkeen kertyneistä oman pääoman eristä sisältyy konsernin omaan pääomaan. Jos konsernin osuus osakkuus- tai yhteisyrityksen tappiosta ylittää kyseisen sijoituksen hankintamenon, sijoitus merkitään taseeseen nolla-arvoon. Kirjanpitoarvon ylit</w:t>
            </w:r>
            <w:r>
              <w:rPr>
                <w:lang w:val="fi-FI" w:eastAsia="fi-FI"/>
              </w:rPr>
              <w:t>täviä tappioita ei tämän jälkeen huomioida, ellei konsernilla ole muita osakkuus- tai yhteisyrityksiin liittyviä velvoitteita.</w:t>
            </w:r>
          </w:p>
          <w:p w:rsidR="001D7267" w14:paraId="3A4473B8" w14:textId="77777777">
            <w:pPr>
              <w:pStyle w:val="Bodytext2"/>
              <w:rPr>
                <w:lang w:val="fi-FI" w:eastAsia="fi-FI"/>
              </w:rPr>
            </w:pPr>
          </w:p>
          <w:p w:rsidR="001D7267" w14:paraId="6F183999" w14:textId="77777777">
            <w:pPr>
              <w:pStyle w:val="Bodytext2"/>
              <w:rPr>
                <w:lang w:val="fi-FI" w:eastAsia="fi-FI"/>
              </w:rPr>
            </w:pPr>
            <w:r>
              <w:rPr>
                <w:lang w:val="fi-FI" w:eastAsia="fi-FI"/>
              </w:rPr>
              <w:t>Osakkuus- ja yhteisyritysten konsernitilinpäätökseen yhdistämisestä johtuvat valuuttakurssimuutokset, jotka kirjataan omaan pääo</w:t>
            </w:r>
            <w:r>
              <w:rPr>
                <w:lang w:val="fi-FI" w:eastAsia="fi-FI"/>
              </w:rPr>
              <w:t>maan, ilmoitetaan tuloslaskelmassa osana voittoa tai tappiota, kun omistusosuus muuttuu.</w:t>
            </w:r>
          </w:p>
        </w:tc>
      </w:tr>
    </w:tbl>
    <w:p w:rsidR="001D7267" w:rsidP="001D7267" w14:paraId="704901B6" w14:textId="77777777">
      <w:pPr>
        <w:pStyle w:val="Bodytext2"/>
        <w:rPr>
          <w:color w:val="0F172B"/>
          <w:szCs w:val="15"/>
          <w:lang w:val="fi-FI" w:eastAsia="fi-FI"/>
        </w:rPr>
      </w:pPr>
    </w:p>
    <w:tbl>
      <w:tblPr>
        <w:tblStyle w:val="TableNormal"/>
        <w:tblCaption w:val="table_64_investments"/>
        <w:tblW w:w="7350" w:type="dxa"/>
        <w:tblLayout w:type="fixed"/>
        <w:tblLook w:val="0600"/>
      </w:tblPr>
      <w:tblGrid>
        <w:gridCol w:w="4860"/>
        <w:gridCol w:w="1245"/>
        <w:gridCol w:w="1245"/>
      </w:tblGrid>
      <w:tr>
        <w:tblPrEx>
          <w:tblW w:w="7350" w:type="dxa"/>
          <w:tblLayout w:type="fixed"/>
          <w:tblLook w:val="0600"/>
        </w:tblPrEx>
        <w:trPr>
          <w:trHeight w:hRule="exac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Kirjanpitoarvo 1.1.</w:t>
            </w:r>
          </w:p>
        </w:tc>
        <w:tc>
          <w:tcPr>
            <w:tcW w:w="124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124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66</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Osuus tuloksesta</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Osingot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Muuntoerot</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Osakepääoman alentaminen osakkuus- ja yhteisyrityksissä</w:t>
            </w:r>
          </w:p>
        </w:tc>
        <w:tc>
          <w:tcPr>
            <w:tcW w:w="124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124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Arvonalentumiset</w:t>
            </w:r>
          </w:p>
        </w:tc>
        <w:tc>
          <w:tcPr>
            <w:tcW w:w="124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24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w:t>
            </w:r>
          </w:p>
        </w:tc>
        <w:tc>
          <w:tcPr>
            <w:tcW w:w="124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24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w:t>
            </w:r>
          </w:p>
        </w:tc>
      </w:tr>
    </w:tbl>
    <w:p w:rsidR="001D7267" w:rsidP="001D7267" w14:paraId="3F2AC99C" w14:textId="77777777">
      <w:pPr>
        <w:spacing w:after="0" w:line="276" w:lineRule="auto"/>
        <w:rPr>
          <w:rFonts w:ascii="Arial" w:hAnsi="Arial" w:cs="Arial"/>
          <w:color w:val="0F172B"/>
          <w:sz w:val="15"/>
          <w:szCs w:val="15"/>
          <w:lang w:val="fi-FI"/>
        </w:rPr>
        <w:sectPr w:rsidSect="002642EE">
          <w:headerReference w:type="even" r:id="rId39"/>
          <w:headerReference w:type="default" r:id="rId40"/>
          <w:footerReference w:type="even" r:id="rId41"/>
          <w:footerReference w:type="default" r:id="rId42"/>
          <w:headerReference w:type="first" r:id="rId43"/>
          <w:footerReference w:type="first" r:id="rId44"/>
          <w:type w:val="continuous"/>
          <w:pgSz w:w="16838" w:h="11906" w:orient="landscape"/>
          <w:pgMar w:top="1814" w:right="737" w:bottom="1247" w:left="737" w:header="720" w:footer="720" w:gutter="0"/>
          <w:pgBorders w:zOrder="front" w:display="allPages" w:offsetFrom="text">
            <w:top w:val="nil"/>
            <w:left w:val="nil"/>
            <w:bottom w:val="nil"/>
            <w:right w:val="nil"/>
          </w:pgBorders>
          <w:cols w:num="2" w:sep="0" w:space="624" w:equalWidth="1"/>
          <w:vAlign w:val="top"/>
          <w:titlePg w:val="0"/>
          <w:rtlGutter w:val="0"/>
          <w:docGrid w:linePitch="360"/>
        </w:sectPr>
      </w:pPr>
    </w:p>
    <w:p w:rsidR="001D7267" w:rsidP="001D7267" w14:paraId="678547D3" w14:textId="77777777">
      <w:pPr>
        <w:pStyle w:val="Bodytext2"/>
        <w:rPr>
          <w:b/>
          <w:bCs/>
          <w:color w:val="0F172B"/>
          <w:sz w:val="2"/>
          <w:szCs w:val="2"/>
          <w:lang w:val="fi-FI"/>
        </w:rPr>
      </w:pPr>
      <w:r w:rsidRPr="001D7267">
        <w:rPr>
          <w:rFonts w:ascii="Times New Roman" w:hAnsi="Times New Roman" w:cs="Times New Roman"/>
          <w:b/>
          <w:bCs/>
          <w:sz w:val="24"/>
          <w:szCs w:val="24"/>
          <w:lang w:val="fi-FI" w:eastAsia="en-GB"/>
        </w:rPr>
        <w:br w:type="column"/>
      </w:r>
    </w:p>
    <w:p w:rsidR="001D7267" w:rsidP="001D7267" w14:paraId="7F2167E7" w14:textId="77777777">
      <w:pPr>
        <w:pStyle w:val="Heading13"/>
        <w:rPr>
          <w:lang w:val="fi-FI"/>
        </w:rPr>
      </w:pPr>
      <w:r>
        <w:rPr>
          <w:lang w:val="fi-FI"/>
        </w:rPr>
        <w:t>Taloudellinen yhteenveto (100%):</w:t>
      </w:r>
    </w:p>
    <w:p w:rsidR="001D7267" w:rsidP="001D7267" w14:paraId="3F9C0B98" w14:textId="77777777">
      <w:pPr>
        <w:pStyle w:val="Bodytext2"/>
        <w:rPr>
          <w:lang w:val="fi-FI"/>
        </w:rPr>
      </w:pPr>
    </w:p>
    <w:p w:rsidR="001D7267" w:rsidP="001D7267" w14:paraId="607597AA" w14:textId="77777777">
      <w:pPr>
        <w:pStyle w:val="Heading13"/>
        <w:rPr>
          <w:lang w:val="en-GB"/>
        </w:rPr>
      </w:pPr>
      <w:r>
        <w:rPr>
          <w:lang w:val="en-GB"/>
        </w:rPr>
        <w:t>2020</w:t>
      </w:r>
    </w:p>
    <w:tbl>
      <w:tblPr>
        <w:tblStyle w:val="TableNormal"/>
        <w:tblCaption w:val="table_64_fin_info_cur"/>
        <w:tblW w:w="15420" w:type="dxa"/>
        <w:tblLayout w:type="fixed"/>
        <w:tblLook w:val="0600"/>
      </w:tblPr>
      <w:tblGrid>
        <w:gridCol w:w="4860"/>
        <w:gridCol w:w="1560"/>
        <w:gridCol w:w="1125"/>
        <w:gridCol w:w="1125"/>
        <w:gridCol w:w="1125"/>
        <w:gridCol w:w="1125"/>
        <w:gridCol w:w="1125"/>
        <w:gridCol w:w="1125"/>
        <w:gridCol w:w="1125"/>
        <w:gridCol w:w="1125"/>
      </w:tblGrid>
      <w:tr>
        <w:tblPrEx>
          <w:tblW w:w="15420" w:type="dxa"/>
          <w:tblLayout w:type="fixed"/>
          <w:tblLook w:val="0600"/>
        </w:tblPrEx>
        <w:trPr>
          <w:trHeigh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6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Omistus-%</w:t>
            </w:r>
          </w:p>
        </w:tc>
        <w:tc>
          <w:tcPr>
            <w:tcW w:w="112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aikaiset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varat</w:t>
            </w:r>
          </w:p>
        </w:tc>
        <w:tc>
          <w:tcPr>
            <w:tcW w:w="112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aikaiset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varat</w:t>
            </w:r>
          </w:p>
        </w:tc>
        <w:tc>
          <w:tcPr>
            <w:tcW w:w="112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Oma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pääoma</w:t>
            </w:r>
          </w:p>
        </w:tc>
        <w:tc>
          <w:tcPr>
            <w:tcW w:w="112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aikaiset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w:t>
            </w:r>
          </w:p>
        </w:tc>
        <w:tc>
          <w:tcPr>
            <w:tcW w:w="112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aikaiset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w:t>
            </w:r>
          </w:p>
        </w:tc>
        <w:tc>
          <w:tcPr>
            <w:tcW w:w="112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vaihto</w:t>
            </w:r>
          </w:p>
        </w:tc>
        <w:tc>
          <w:tcPr>
            <w:tcW w:w="112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kauden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Yhteisyritykset</w:t>
            </w:r>
          </w:p>
        </w:tc>
        <w:tc>
          <w:tcPr>
            <w:tcW w:w="156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Qiyao Diesel Company Ltd.</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6E6"/>
                <w:sz w:val="13"/>
                <w:u w:val="none"/>
                <w:vertAlign w:val="baseline"/>
              </w:rPr>
            </w:pPr>
            <w:r>
              <w:rPr>
                <w:rFonts w:ascii="Arial" w:eastAsia="Arial" w:hAnsi="Arial" w:cs="Arial"/>
                <w:b/>
                <w:i w:val="0"/>
                <w:strike w:val="0"/>
                <w:color w:val="E7E6E6"/>
                <w:sz w:val="13"/>
                <w:u w:val="none"/>
                <w:vertAlign w:val="baseline"/>
              </w:rPr>
              <w:t>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Hyundai Engine Co Ltd.</w:t>
            </w:r>
          </w:p>
        </w:tc>
        <w:tc>
          <w:tcPr>
            <w:tcW w:w="15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Etelä-Korea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0,0</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CSSC Wärtsilä Electrical &amp; Automation Co., Ltd.</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6E6"/>
                <w:sz w:val="13"/>
                <w:u w:val="none"/>
                <w:vertAlign w:val="baseline"/>
              </w:rPr>
            </w:pPr>
            <w:r>
              <w:rPr>
                <w:rFonts w:ascii="Arial" w:eastAsia="Arial" w:hAnsi="Arial" w:cs="Arial"/>
                <w:b/>
                <w:i w:val="0"/>
                <w:strike w:val="0"/>
                <w:color w:val="E7E6E6"/>
                <w:sz w:val="13"/>
                <w:u w:val="none"/>
                <w:vertAlign w:val="baseline"/>
              </w:rPr>
              <w:t>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6E6"/>
                <w:sz w:val="13"/>
                <w:u w:val="none"/>
                <w:vertAlign w:val="baseline"/>
              </w:rPr>
            </w:pPr>
            <w:r>
              <w:rPr>
                <w:rFonts w:ascii="Arial" w:eastAsia="Arial" w:hAnsi="Arial" w:cs="Arial"/>
                <w:b/>
                <w:i w:val="0"/>
                <w:strike w:val="0"/>
                <w:color w:val="E7E6E6"/>
                <w:sz w:val="13"/>
                <w:u w:val="none"/>
                <w:vertAlign w:val="baseline"/>
              </w:rPr>
              <w:t>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6E6"/>
                <w:sz w:val="13"/>
                <w:u w:val="none"/>
                <w:vertAlign w:val="baseline"/>
              </w:rPr>
            </w:pPr>
            <w:r>
              <w:rPr>
                <w:rFonts w:ascii="Arial" w:eastAsia="Arial" w:hAnsi="Arial" w:cs="Arial"/>
                <w:b/>
                <w:i w:val="0"/>
                <w:strike w:val="0"/>
                <w:color w:val="E7E6E6"/>
                <w:sz w:val="13"/>
                <w:u w:val="none"/>
                <w:vertAlign w:val="baseline"/>
              </w:rPr>
              <w:t>0</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CSSC Wärtsilä Engine (Shanghai) Co., Ltd.</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49,0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73</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E7E6E6"/>
                <w:sz w:val="13"/>
                <w:u w:val="none"/>
                <w:vertAlign w:val="baseline"/>
              </w:rPr>
            </w:pPr>
            <w:r>
              <w:rPr>
                <w:rFonts w:ascii="Arial" w:eastAsia="Arial" w:hAnsi="Arial" w:cs="Arial"/>
                <w:b/>
                <w:i w:val="0"/>
                <w:strike w:val="0"/>
                <w:color w:val="E7E6E6"/>
                <w:sz w:val="13"/>
                <w:u w:val="none"/>
                <w:vertAlign w:val="baseline"/>
              </w:rPr>
              <w:t>0</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66</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Repropel Sociedad de reparacao de helices</w:t>
            </w:r>
          </w:p>
        </w:tc>
        <w:tc>
          <w:tcPr>
            <w:tcW w:w="15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Portugali</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50,0</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bl>
    <w:p w:rsidR="001D7267" w:rsidP="001D7267" w14:paraId="60BCF7E5" w14:textId="77777777">
      <w:pPr>
        <w:pStyle w:val="Bodytext2"/>
        <w:rPr>
          <w:color w:val="0F172B"/>
          <w:szCs w:val="15"/>
          <w:lang w:val="en-GB"/>
        </w:rPr>
      </w:pPr>
    </w:p>
    <w:p w:rsidR="001D7267" w:rsidP="001D7267" w14:paraId="4C7EFD2F" w14:textId="77777777">
      <w:pPr>
        <w:pStyle w:val="Bodytext2"/>
        <w:rPr>
          <w:color w:val="0F172B"/>
          <w:szCs w:val="15"/>
          <w:lang w:val="fi-FI"/>
        </w:rPr>
      </w:pPr>
      <w:r>
        <w:rPr>
          <w:color w:val="0F172B"/>
          <w:szCs w:val="15"/>
          <w:lang w:val="fi-FI"/>
        </w:rPr>
        <w:t>CSSC Wärtsilä Engine (Shanghai) Co., Ltd. -yhtiö valmistaa keskikokoisia ja suuria keskinopeita dieselmoottoreita ja monipolttoainemoottoreita Shanghaissa Linganganissa. Wärtsilä Hyundai Engine Co Ltd. valmistaa monipolttoainemo</w:t>
      </w:r>
      <w:r>
        <w:rPr>
          <w:color w:val="0F172B"/>
          <w:szCs w:val="15"/>
          <w:lang w:val="fi-FI"/>
        </w:rPr>
        <w:t>ottoreita LNG-aluksiin Mokpossa, Etelä-Koreassa. Wärtsilä Qiyao Diesel Company Ltd. valmistaa merenkulun apumoottoreita Shanghaissa, Kiinassa. CSSC Wärtsilä Electrical &amp; Automation Co., Ltd. tuottaa kehittyneitä sähkö- ja automaatioratkaisuja risteilyalall</w:t>
      </w:r>
      <w:r>
        <w:rPr>
          <w:color w:val="0F172B"/>
          <w:szCs w:val="15"/>
          <w:lang w:val="fi-FI"/>
        </w:rPr>
        <w:t xml:space="preserve">e. </w:t>
      </w:r>
    </w:p>
    <w:p w:rsidR="001D7267" w:rsidP="001D7267" w14:paraId="3EC3CA9E" w14:textId="77777777">
      <w:pPr>
        <w:pStyle w:val="Bodytext2"/>
        <w:rPr>
          <w:color w:val="0F172B"/>
          <w:szCs w:val="15"/>
          <w:lang w:val="fi-FI"/>
        </w:rPr>
      </w:pPr>
    </w:p>
    <w:p w:rsidR="001D7267" w:rsidP="001D7267" w14:paraId="7840E15E" w14:textId="45C0745E">
      <w:pPr>
        <w:pStyle w:val="Bodytext2"/>
        <w:rPr>
          <w:color w:val="0F172B"/>
          <w:szCs w:val="15"/>
          <w:lang w:val="fi-FI"/>
        </w:rPr>
      </w:pPr>
      <w:r>
        <w:rPr>
          <w:color w:val="0F172B"/>
          <w:szCs w:val="15"/>
          <w:lang w:val="fi-FI"/>
        </w:rPr>
        <w:t>Wärtsilä Hyundai Engine</w:t>
      </w:r>
      <w:r>
        <w:rPr>
          <w:color w:val="0F172B"/>
          <w:szCs w:val="15"/>
          <w:lang w:val="fi-FI"/>
        </w:rPr>
        <w:t xml:space="preserve"> Co Ltd.:n</w:t>
      </w:r>
      <w:r>
        <w:rPr>
          <w:color w:val="0F172B"/>
          <w:szCs w:val="15"/>
          <w:lang w:val="fi-FI"/>
        </w:rPr>
        <w:t xml:space="preserve"> osakkeet myytin 31.12.2020. Lisäksi tilikauden aikana lakkautettiin Wärtsilä Land &amp; Sea Academy, Inc. ja Neptun</w:t>
      </w:r>
      <w:r>
        <w:rPr>
          <w:color w:val="0F172B"/>
          <w:szCs w:val="15"/>
          <w:lang w:val="fi-FI"/>
        </w:rPr>
        <w:t xml:space="preserve"> Maritime AS:n osakkeet myytiin.</w:t>
      </w:r>
    </w:p>
    <w:p w:rsidR="001D7267" w:rsidP="001D7267" w14:paraId="6C12C869" w14:textId="77777777">
      <w:pPr>
        <w:pStyle w:val="Bodytext2"/>
        <w:rPr>
          <w:color w:val="0F172B"/>
          <w:szCs w:val="15"/>
          <w:lang w:val="fi-FI"/>
        </w:rPr>
      </w:pPr>
    </w:p>
    <w:p w:rsidR="001D7267" w:rsidP="001D7267" w14:paraId="279F4853" w14:textId="77777777">
      <w:pPr>
        <w:pStyle w:val="Heading13"/>
        <w:rPr>
          <w:lang w:val="en-GB"/>
        </w:rPr>
      </w:pPr>
      <w:r>
        <w:rPr>
          <w:lang w:val="en-GB"/>
        </w:rPr>
        <w:t>2019</w:t>
      </w:r>
    </w:p>
    <w:tbl>
      <w:tblPr>
        <w:tblStyle w:val="TableNormal"/>
        <w:tblCaption w:val="table_64_fin_info_pre"/>
        <w:tblW w:w="15420" w:type="dxa"/>
        <w:tblLayout w:type="fixed"/>
        <w:tblLook w:val="0600"/>
      </w:tblPr>
      <w:tblGrid>
        <w:gridCol w:w="4860"/>
        <w:gridCol w:w="1560"/>
        <w:gridCol w:w="1125"/>
        <w:gridCol w:w="1125"/>
        <w:gridCol w:w="1125"/>
        <w:gridCol w:w="1125"/>
        <w:gridCol w:w="1125"/>
        <w:gridCol w:w="1125"/>
        <w:gridCol w:w="1125"/>
        <w:gridCol w:w="1125"/>
      </w:tblGrid>
      <w:tr>
        <w:tblPrEx>
          <w:tblW w:w="15420" w:type="dxa"/>
          <w:tblLayout w:type="fixed"/>
          <w:tblLook w:val="0600"/>
        </w:tblPrEx>
        <w:trPr>
          <w:trHeight w:val="240"/>
        </w:trPr>
        <w:tc>
          <w:tcPr>
            <w:tcW w:w="486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60"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Omistus-%</w:t>
            </w:r>
          </w:p>
        </w:tc>
        <w:tc>
          <w:tcPr>
            <w:tcW w:w="1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aikaiset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varat</w:t>
            </w:r>
          </w:p>
        </w:tc>
        <w:tc>
          <w:tcPr>
            <w:tcW w:w="1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aikaiset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varat</w:t>
            </w:r>
          </w:p>
        </w:tc>
        <w:tc>
          <w:tcPr>
            <w:tcW w:w="1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Oma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pääoma</w:t>
            </w:r>
          </w:p>
        </w:tc>
        <w:tc>
          <w:tcPr>
            <w:tcW w:w="1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aikaiset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w:t>
            </w:r>
          </w:p>
        </w:tc>
        <w:tc>
          <w:tcPr>
            <w:tcW w:w="1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aikaiset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w:t>
            </w:r>
          </w:p>
        </w:tc>
        <w:tc>
          <w:tcPr>
            <w:tcW w:w="1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vaihto</w:t>
            </w:r>
          </w:p>
        </w:tc>
        <w:tc>
          <w:tcPr>
            <w:tcW w:w="112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kauden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Yhteisyritykset</w:t>
            </w:r>
          </w:p>
        </w:tc>
        <w:tc>
          <w:tcPr>
            <w:tcW w:w="156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12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Qiyao Diesel Company Ltd.</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Hyundai Engine Co Ltd.</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Etelä-Korea</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CSSC Wärtsilä Electrical &amp; Automation Co., Ltd.</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49.0</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CSSC Wärtsilä Engine (Shanghai) Co., Ltd.</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49.0</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19</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76</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860" w:type="dxa"/>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Repropel Sociedad de reparacao de helices</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Portugali</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50.0</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Osakkuusyritykset</w:t>
            </w:r>
          </w:p>
        </w:tc>
        <w:tc>
          <w:tcPr>
            <w:tcW w:w="156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Land &amp; Sea Academy, Inc.</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Filippiinit</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40.0</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15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860"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Neptun Maritime AS</w:t>
            </w:r>
          </w:p>
        </w:tc>
        <w:tc>
          <w:tcPr>
            <w:tcW w:w="156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Norja</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40.0</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12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bl>
    <w:p w:rsidR="001D7267" w:rsidRPr="00C03863" w:rsidP="001D7267" w14:paraId="1F9B3885" w14:textId="77777777">
      <w:pPr>
        <w:spacing w:after="0" w:line="276" w:lineRule="auto"/>
        <w:rPr>
          <w:rFonts w:ascii="Arial" w:hAnsi="Arial" w:cs="Arial"/>
          <w:color w:val="0F172B"/>
          <w:sz w:val="2"/>
          <w:szCs w:val="2"/>
          <w:lang w:val="en-GB"/>
        </w:rPr>
        <w:sectPr>
          <w:type w:val="continuous"/>
          <w:pgSz w:w="16838" w:h="11906" w:orient="landscape"/>
          <w:pgMar w:top="1814" w:right="737" w:bottom="1247" w:left="737" w:header="720" w:footer="720" w:gutter="0"/>
          <w:pgBorders w:zOrder="front" w:display="allPages" w:offsetFrom="text">
            <w:top w:val="nil"/>
            <w:left w:val="nil"/>
            <w:bottom w:val="nil"/>
            <w:right w:val="nil"/>
          </w:pgBorders>
          <w:cols w:space="720"/>
          <w:vAlign w:val="top"/>
          <w:titlePg w:val="0"/>
          <w:rtlGutter w:val="0"/>
        </w:sectPr>
      </w:pPr>
    </w:p>
    <w:p w:rsidR="001D7267" w:rsidRPr="00C03863" w:rsidP="001D7267" w14:paraId="20D3F766" w14:textId="77777777">
      <w:pPr>
        <w:rPr>
          <w:sz w:val="2"/>
          <w:szCs w:val="2"/>
          <w:lang w:val="en-GB"/>
        </w:rPr>
      </w:pPr>
      <w:r w:rsidRPr="00C03863">
        <w:rPr>
          <w:sz w:val="2"/>
          <w:szCs w:val="2"/>
          <w:lang w:val="en-GB"/>
        </w:rPr>
        <w:br w:type="page"/>
      </w:r>
    </w:p>
    <w:p w:rsidR="001D7267" w:rsidRPr="00C03863" w:rsidP="001D7267" w14:paraId="7EC6B68E" w14:textId="77777777">
      <w:pPr>
        <w:rPr>
          <w:sz w:val="2"/>
          <w:szCs w:val="2"/>
          <w:lang w:val="en-GB"/>
        </w:rPr>
      </w:pPr>
    </w:p>
    <w:p w:rsidR="004A0DF2" w:rsidRPr="00C03863" w:rsidP="001D7267" w14:textId="3B15A68D">
      <w:pPr>
        <w:rPr>
          <w:sz w:val="2"/>
          <w:szCs w:val="2"/>
          <w:lang w:val="en-GB"/>
        </w:rPr>
      </w:pPr>
      <w:r>
        <w:t xml:space="preserve"> </w:t>
      </w:r>
    </w:p>
    <w:p w:rsidR="006505F6" w:rsidP="006505F6" w14:paraId="01BFD5C8" w14:textId="47459372">
      <w:pPr>
        <w:pStyle w:val="Heading12"/>
      </w:pPr>
      <w:bookmarkStart w:id="1162" w:name="RG_MARKER_4708"/>
      <w:r>
        <w:t>6.5. TYTÄRYHTIÖT</w:t>
      </w:r>
      <w:bookmarkEnd w:id="1162"/>
    </w:p>
    <w:tbl>
      <w:tblPr>
        <w:tblStyle w:val="TableGrid"/>
        <w:tblW w:w="7371" w:type="dxa"/>
        <w:tblLook w:val="04A0"/>
      </w:tblPr>
      <w:tblGrid>
        <w:gridCol w:w="7371"/>
      </w:tblGrid>
      <w:tr w14:paraId="53369239" w14:textId="77777777" w:rsidTr="006505F6">
        <w:tblPrEx>
          <w:tblW w:w="7371" w:type="dxa"/>
          <w:tblLook w:val="04A0"/>
        </w:tblPrEx>
        <w:tc>
          <w:tcPr>
            <w:tcW w:w="7371" w:type="dxa"/>
            <w:tcBorders>
              <w:top w:val="nil"/>
              <w:left w:val="nil"/>
              <w:bottom w:val="nil"/>
              <w:right w:val="nil"/>
            </w:tcBorders>
            <w:shd w:val="clear" w:color="auto" w:fill="B6C8D1"/>
          </w:tcPr>
          <w:p w:rsidR="006505F6" w:rsidRPr="006505F6" w14:paraId="37791D3E" w14:textId="61C75134">
            <w:pPr>
              <w:pStyle w:val="Heading13"/>
              <w:rPr>
                <w:rFonts w:eastAsiaTheme="minorEastAsia" w:cstheme="minorHAnsi"/>
                <w:lang w:val="fi-FI" w:eastAsia="fi-FI"/>
              </w:rPr>
            </w:pPr>
            <w:r w:rsidRPr="006505F6">
              <w:rPr>
                <w:lang w:val="fi-FI"/>
              </w:rPr>
              <w:t>Laadintaperiaatteet</w:t>
            </w:r>
          </w:p>
          <w:p w:rsidR="006505F6" w14:paraId="5612FC10" w14:textId="18E78C5D">
            <w:pPr>
              <w:pStyle w:val="Bodytext2"/>
              <w:rPr>
                <w:color w:val="0F172B"/>
                <w:szCs w:val="15"/>
                <w:lang w:val="fi-FI"/>
              </w:rPr>
            </w:pPr>
            <w:r w:rsidRPr="006505F6">
              <w:rPr>
                <w:color w:val="0F172B"/>
                <w:szCs w:val="15"/>
                <w:lang w:val="fi-FI"/>
              </w:rPr>
              <w:t xml:space="preserve">Konsernitilinpäätös sisältää emoyhtiö Wärtsilä </w:t>
            </w:r>
            <w:bookmarkStart w:id="1163" w:name="XBRL_CS_c01865e4795b455f9d858f6a1d329a51"/>
            <w:bookmarkEnd w:id="1163"/>
            <w:bookmarkStart w:id="1164" w:name="c01865e4795b455f9d858f6a1d329a51"/>
            <w:r w:rsidRPr="00C6455E">
              <w:rPr>
                <w:color w:val="0F172B"/>
                <w:szCs w:val="15"/>
                <w:lang w:val="fi-FI"/>
              </w:rPr>
              <w:t>Oyj</w:t>
            </w:r>
            <w:bookmarkStart w:id="1165" w:name="XBRL_CE_c01865e4795b455f9d858f6a1d329a51"/>
            <w:bookmarkEnd w:id="1164"/>
            <w:bookmarkEnd w:id="1165"/>
            <w:r w:rsidRPr="00C6455E">
              <w:rPr>
                <w:color w:val="0F172B"/>
                <w:szCs w:val="15"/>
                <w:lang w:val="fi-FI"/>
              </w:rPr>
              <w:t xml:space="preserve"> </w:t>
            </w:r>
            <w:r w:rsidRPr="006505F6">
              <w:rPr>
                <w:color w:val="0F172B"/>
                <w:szCs w:val="15"/>
                <w:lang w:val="fi-FI"/>
              </w:rPr>
              <w:t xml:space="preserve">Abp:n sekä kaikki ne tytäryhtiöt, jotka ovat konsernin määräysvallassa. Konsernilla on määräysvalta yhtiöön silloin, kun se olemalla osallisena yhtiössä </w:t>
            </w:r>
            <w:r w:rsidRPr="006505F6">
              <w:rPr>
                <w:color w:val="0F172B"/>
                <w:szCs w:val="15"/>
                <w:lang w:val="fi-FI"/>
              </w:rPr>
              <w:t>altistuu sijoituskohteen muuttuvalle tuotolle tai on oikeutettu sen muuttuvaan tuottoon ja se pystyy vaikuttamaan tähän tuottoon käyttämällä sijoituskohdetta koskevaa valtaansa. Kun konsernilla ei ole enemmistöä ääni- tai muista vastaavista oikeuksista, ko</w:t>
            </w:r>
            <w:r w:rsidRPr="006505F6">
              <w:rPr>
                <w:color w:val="0F172B"/>
                <w:szCs w:val="15"/>
                <w:lang w:val="fi-FI"/>
              </w:rPr>
              <w:t>nserni ottaa huomioon kaikki asianmukaiset tosiseikat ja olosuhteet, mukaan lukien sopimusjärjestelyt, äänioikeudet ja mahdolliset äänioikeudet, arvioidessaan, onko sillä määräysvaltaa yhtiöön. Konserni arvioi määräysvaltansa yhtiöön uudelleen, jos tosisei</w:t>
            </w:r>
            <w:r w:rsidRPr="006505F6">
              <w:rPr>
                <w:color w:val="0F172B"/>
                <w:szCs w:val="15"/>
                <w:lang w:val="fi-FI"/>
              </w:rPr>
              <w:t>kat ja olosuhteet viittaavat siihen, että määräysvallan osatekijöissä on tapahtunut muutoksia.</w:t>
            </w:r>
          </w:p>
          <w:p w:rsidR="006505F6" w:rsidRPr="006505F6" w14:paraId="58C8C9FD" w14:textId="77777777">
            <w:pPr>
              <w:pStyle w:val="Bodytext2"/>
              <w:rPr>
                <w:rFonts w:eastAsiaTheme="minorEastAsia"/>
                <w:color w:val="0F172B"/>
                <w:szCs w:val="15"/>
                <w:lang w:val="fi-FI" w:eastAsia="fi-FI"/>
              </w:rPr>
            </w:pPr>
          </w:p>
          <w:p w:rsidR="006505F6" w:rsidRPr="006505F6" w14:paraId="315CE128" w14:textId="18F3A50A">
            <w:pPr>
              <w:pStyle w:val="Bodytext2"/>
              <w:rPr>
                <w:rFonts w:eastAsiaTheme="minorEastAsia"/>
                <w:color w:val="0F172B"/>
                <w:szCs w:val="15"/>
                <w:lang w:val="fi-FI" w:eastAsia="fi-FI"/>
              </w:rPr>
            </w:pPr>
            <w:r w:rsidRPr="006505F6">
              <w:rPr>
                <w:color w:val="0F172B"/>
                <w:szCs w:val="15"/>
                <w:lang w:val="fi-FI"/>
              </w:rPr>
              <w:t>Hyperinflaatiosta kärsivissä maissa toimivien tytäryhtiöiden taloudelliset tiedot oikaistaan standardin IAS 29 mukaisesti silloin, kun hyperinflaation vaikutust</w:t>
            </w:r>
            <w:r w:rsidRPr="006505F6">
              <w:rPr>
                <w:color w:val="0F172B"/>
                <w:szCs w:val="15"/>
                <w:lang w:val="fi-FI"/>
              </w:rPr>
              <w:t>a konsernitilinpäätökseen pidetään olennaisena.</w:t>
            </w:r>
          </w:p>
        </w:tc>
      </w:tr>
    </w:tbl>
    <w:p w:rsidR="006505F6" w:rsidRPr="006505F6" w:rsidP="006505F6" w14:paraId="6F94749D" w14:textId="77777777">
      <w:pPr>
        <w:pStyle w:val="Bodytext2"/>
        <w:rPr>
          <w:color w:val="0F172B"/>
          <w:szCs w:val="15"/>
          <w:lang w:val="fi-FI"/>
        </w:rPr>
      </w:pPr>
    </w:p>
    <w:tbl>
      <w:tblPr>
        <w:tblStyle w:val="TableNormal"/>
        <w:tblCaption w:val="table_65"/>
        <w:tblW w:w="7335" w:type="dxa"/>
        <w:tblLayout w:type="fixed"/>
        <w:tblLook w:val="0600"/>
      </w:tblPr>
      <w:tblGrid>
        <w:gridCol w:w="870"/>
        <w:gridCol w:w="2970"/>
        <w:gridCol w:w="1125"/>
        <w:gridCol w:w="1860"/>
        <w:gridCol w:w="510"/>
      </w:tblGrid>
      <w:tr>
        <w:tblPrEx>
          <w:tblW w:w="7335" w:type="dxa"/>
          <w:tblLayout w:type="fixed"/>
          <w:tblLook w:val="0600"/>
        </w:tblPrEx>
        <w:trPr>
          <w:trHeight w:val="240"/>
        </w:trPr>
        <w:tc>
          <w:tcPr>
            <w:tcW w:w="87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Maantie-</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teellinen </w:t>
            </w:r>
          </w:p>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alue</w:t>
            </w:r>
          </w:p>
        </w:tc>
        <w:tc>
          <w:tcPr>
            <w:tcW w:w="297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Yhtiön nimi</w:t>
            </w:r>
          </w:p>
        </w:tc>
        <w:tc>
          <w:tcPr>
            <w:tcW w:w="112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Kotimaa</w:t>
            </w:r>
          </w:p>
        </w:tc>
        <w:tc>
          <w:tcPr>
            <w:tcW w:w="186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Toiminnot</w:t>
            </w:r>
          </w:p>
        </w:tc>
        <w:tc>
          <w:tcPr>
            <w:tcW w:w="5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Omis-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osuus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Eurooppa</w:t>
            </w:r>
          </w:p>
        </w:tc>
        <w:tc>
          <w:tcPr>
            <w:tcW w:w="297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Cyprus Limited</w:t>
            </w:r>
          </w:p>
        </w:tc>
        <w:tc>
          <w:tcPr>
            <w:tcW w:w="112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Kypros</w:t>
            </w:r>
          </w:p>
        </w:tc>
        <w:tc>
          <w:tcPr>
            <w:tcW w:w="186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Danmark 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Tanska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Lyngsø Marine 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Tanska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Puregas Solutions 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Tanska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BLRT Estonia Oü</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Viro</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51,7</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Eniram Oy</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Suomi</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Finland Oy</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Suomi</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Projects Oy</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Suomi</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Solutions Oy</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Suomi</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Technology Oy Ab</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Suomi</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Holding</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France S.A.S.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Ranska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Mediterranean SAS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Ranska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Deutschland GmbH</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Saksa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Funa International GmbH</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Saksa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SAM Electronics GmbH</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Saksa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Germany GmbH</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Saksa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Serck Como GmbH</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Saksa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Guidance Marine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Yhdistynyt kuningaskunta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Puregas Solutions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Yhdistynyt kuningaskunta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UK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Yhdistynyt kuningaskunta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UK Limited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Yhdistynyt kuningaskunta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Ships Electronic Services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Yhdistynyt kuningaskunta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Greenham Regis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Yhdistynyt kuningaskunta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Water Systems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Yhdistynyt kuningaskunta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Defence Solutions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Yhdistynyt kuningaskunta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Greece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Kreikka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Hungary Kft</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Unkari</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Investments Unlimited Company</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Irlanti</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Transas New Building Limited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Irlanti</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Limited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Irlanti</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APSS Srl</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Italia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Italia S.p.A.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Italia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Trident Italia Srl</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Italia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Moss 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Norja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Norway 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Norja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Gas Solutions Norway 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Norja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Valmarine 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Norja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Baltic Design Centre Sp.z.o.o.</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Puola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Polska Sp.z.o.o.</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Puola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Poland sp. z.o.o.</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Puola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Portugal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Portugali</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Vostok, LLC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Venäjä</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Transas Navigator Ltd. </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Venäjä</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Digital Technologies, JSC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Venäjä</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Ibérica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Espanja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Burriel Navarro S.L.</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Espanja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Trident Las Palmas S.L.</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Espanja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Sweden AB</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Ruotsi</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Sweden AB</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Ruotsi</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Services Switzerland AG</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Sveitsi</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Quantiparts B.V.</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Alankomaat</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Netherlands B.V.</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Alankomaat</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Trident B.V.</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Alankomaat</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Netherlands BV</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Alankomaat</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Amerikka</w:t>
            </w: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Argentina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Argentiina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Brasil Ltda.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Brasilia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Canada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Kanada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Chile Ltda.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Chile</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Colombia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Kolumbia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Dominicana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Dominikaaninen tasavalta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Ecuador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Ecuador</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Guatemala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Guatemala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Operations Guyana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Guyana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de Mexico S.A. de C.V.</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Meksiko</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Panama Services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Panama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Peru S.A.C.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Peru</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Caribbean,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Puerto Rico</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Uruguay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Uruguay</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American Hydro Corporation</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Guidance Marine LLC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Defence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Dynamic Positioning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North America,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LOCK-N-STITCH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Wartsila Voyage Americas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Aasia</w:t>
            </w: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PT. Wärtsilä Indonesia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Indonesia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Azerbaijan LLC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Azerbaidzan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Bangladesh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Bangladesh</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SAM Electronics (Taizhou) Co.,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Propulsion (Wuxi) Co.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Services (Shanghai) Co.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Ship Design (Shanghai) Co.,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Suzhou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Wärtsilä-CME Zhenjiang Propeller Co.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(Shanghai) Co.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Hong Kong</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China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Hong Kong</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Wärtsila India Private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Japan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Japani</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Tuotanto, 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Malaysia Sdn. Bhd.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Malesia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Myanmar</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Myanmar</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Pakistan (Pvt.)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Pakistan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Philippines Inc.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Filippiinit</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Doha L.L.C.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Qatar</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Power Contracting Company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Saudi-Arabia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Guidance Marine Pte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Singapore</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Singapore Pte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Singapore</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Voyage Pacific Pte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Singapore</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Korea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Etelä-Korea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Lanka (PVT)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Sri Lanka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Taiwan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Taiwan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Wärtsilä-Enpa A.S.</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Turkki</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Gulf FZE</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Yhdistyneet arabiemiirikunnat</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Hamworthy Middle East (FZE)</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Yhdistyneet arabiemiirikunnat</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LLC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Yhdistyneet arabiemiirikunnat</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Ships Repairing &amp; Maintenance LLC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Yhdistyneet arabiemiirikunnat</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Wärtsilä Voyage Middle East DMCEST </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Yhdistyneet arabiemiirikunnat</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(Vietnam) Company Limited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Vietnam</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Australia Pty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Australia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Burkina Faso</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Burkina Faso</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Central Africa Plc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Kamerun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Egypt Power S.A.E</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Egypti</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Central Africa Gabon</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Gabon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West Africa Guinea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Guinea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Eastern Africa Limited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Kenia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Mauritanie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Mauritania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Mocambique LDA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Mosambik</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Muscat LLC</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Oman</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New Zealand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Uusi-Seelanti</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Marine &amp; Power Services Nigeria Limited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Nigeria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PNG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Papua-Uusi-Guinea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West Africa S.A.</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Senegal</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Southern Africa (Pty)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Etelä-Afrikka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Tanzania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Tansania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r>
        <w:tblPrEx>
          <w:tblW w:w="7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87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9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Wärtsilä Uganda Ltd.</w:t>
            </w:r>
          </w:p>
        </w:tc>
        <w:tc>
          <w:tcPr>
            <w:tcW w:w="112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Uganda</w:t>
            </w:r>
          </w:p>
        </w:tc>
        <w:tc>
          <w:tcPr>
            <w:tcW w:w="186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 ja huolto</w:t>
            </w:r>
          </w:p>
        </w:tc>
        <w:tc>
          <w:tcPr>
            <w:tcW w:w="5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100,0</w:t>
            </w:r>
          </w:p>
        </w:tc>
      </w:tr>
    </w:tbl>
    <w:p w:rsidR="006505F6" w:rsidRPr="0094539F" w:rsidP="006505F6" w14:paraId="21B83604" w14:textId="77777777">
      <w:pPr>
        <w:pStyle w:val="Bodytext2"/>
        <w:rPr>
          <w:color w:val="0F172B"/>
          <w:szCs w:val="15"/>
          <w:lang w:val="fi-FI"/>
        </w:rPr>
      </w:pPr>
    </w:p>
    <w:p w:rsidR="006505F6" w:rsidRPr="006505F6" w:rsidP="006505F6" w14:paraId="0EEE1402" w14:textId="77777777">
      <w:pPr>
        <w:pStyle w:val="Bodytext2"/>
        <w:rPr>
          <w:color w:val="0F172B"/>
          <w:szCs w:val="15"/>
          <w:lang w:val="fi-FI"/>
        </w:rPr>
      </w:pPr>
      <w:r w:rsidRPr="006505F6">
        <w:rPr>
          <w:color w:val="0F172B"/>
          <w:szCs w:val="15"/>
          <w:lang w:val="fi-FI"/>
        </w:rPr>
        <w:t>Määräysvallattomien omistajien osuus konsernin toiminnoista ja rahavirroista ei ole olennainen yksittäisten tytäryhtiöiden osalta.</w:t>
      </w:r>
    </w:p>
    <w:p w:rsidR="006505F6" w:rsidRPr="006505F6" w:rsidP="006505F6" w14:paraId="5E825D01" w14:textId="77777777">
      <w:pPr>
        <w:pStyle w:val="Bodytext2"/>
        <w:rPr>
          <w:color w:val="0F172B"/>
          <w:szCs w:val="15"/>
          <w:lang w:val="fi-FI"/>
        </w:rPr>
      </w:pPr>
    </w:p>
    <w:p w:rsidR="004A0DF2" w:rsidRPr="006505F6" w:rsidP="006505F6" w14:textId="247E1176">
      <w:pPr>
        <w:pStyle w:val="Bodytext2"/>
        <w:rPr>
          <w:rFonts w:eastAsia="Times New Roman"/>
          <w:color w:val="auto"/>
          <w:sz w:val="2"/>
          <w:szCs w:val="2"/>
          <w:lang w:val="en-GB" w:eastAsia="en-GB"/>
        </w:rPr>
      </w:pPr>
      <w:r w:rsidRPr="006505F6">
        <w:rPr>
          <w:color w:val="0F172B"/>
          <w:szCs w:val="15"/>
          <w:lang w:val="fi-FI"/>
        </w:rPr>
        <w:t>Listassa ei ole mukana sellaisia tytäryhtiöitä, joilla ei o</w:t>
      </w:r>
      <w:r w:rsidRPr="006505F6">
        <w:rPr>
          <w:color w:val="0F172B"/>
          <w:szCs w:val="15"/>
          <w:lang w:val="fi-FI"/>
        </w:rPr>
        <w:t xml:space="preserve">le merkittävää vaikutusta konsernin tulokseen tai varoihin. </w:t>
      </w:r>
      <w:r w:rsidRPr="006505F6">
        <w:rPr>
          <w:color w:val="0F172B"/>
          <w:szCs w:val="15"/>
          <w:lang w:val="en-GB"/>
        </w:rPr>
        <w:t>Suomen kirjanpitoasetuksen mukainen täydellinen luettelo sisältyy emoyhtiön virallisiin tilinpäätösasiakirjoihi</w:t>
      </w:r>
      <w:r>
        <w:rPr>
          <w:color w:val="0F172B"/>
          <w:szCs w:val="15"/>
          <w:lang w:val="en-GB"/>
        </w:rPr>
        <w:t>n.</w:t>
      </w:r>
    </w:p>
    <w:p/>
    <w:p w:rsidR="00D57FE8" w:rsidP="00D57FE8" w14:paraId="173D882D" w14:textId="172ECCDF">
      <w:pPr>
        <w:pStyle w:val="Heading12"/>
      </w:pPr>
      <w:bookmarkStart w:id="1166" w:name="RG_MARKER_4709"/>
      <w:r>
        <w:t>6.6. TILINPÄÄTÖSKURSSEJA</w:t>
      </w:r>
      <w:bookmarkEnd w:id="1166"/>
    </w:p>
    <w:tbl>
      <w:tblPr>
        <w:tblStyle w:val="TableGrid"/>
        <w:tblW w:w="7371" w:type="dxa"/>
        <w:tblLook w:val="04A0"/>
      </w:tblPr>
      <w:tblGrid>
        <w:gridCol w:w="7371"/>
      </w:tblGrid>
      <w:tr w14:paraId="76006B24" w14:textId="77777777" w:rsidTr="00D57FE8">
        <w:tblPrEx>
          <w:tblW w:w="7371" w:type="dxa"/>
          <w:tblLook w:val="04A0"/>
        </w:tblPrEx>
        <w:tc>
          <w:tcPr>
            <w:tcW w:w="7371" w:type="dxa"/>
            <w:tcBorders>
              <w:top w:val="nil"/>
              <w:left w:val="nil"/>
              <w:bottom w:val="nil"/>
              <w:right w:val="nil"/>
            </w:tcBorders>
            <w:shd w:val="clear" w:color="auto" w:fill="B6C8D1"/>
          </w:tcPr>
          <w:p w:rsidR="00D57FE8" w:rsidRPr="0086214E" w14:paraId="2E9DF254" w14:textId="476AA3FE">
            <w:pPr>
              <w:pStyle w:val="Heading13"/>
              <w:rPr>
                <w:lang w:val="fi-FI"/>
              </w:rPr>
            </w:pPr>
            <w:r w:rsidRPr="0086214E">
              <w:rPr>
                <w:lang w:val="fi-FI"/>
              </w:rPr>
              <w:t>Laadintaperiaatteet</w:t>
            </w:r>
          </w:p>
          <w:p w:rsidR="00D57FE8" w:rsidRPr="00D57FE8" w:rsidP="00D57FE8" w14:paraId="7CB73D6B" w14:textId="77777777">
            <w:pPr>
              <w:pStyle w:val="Heading13"/>
              <w:rPr>
                <w:lang w:val="fi-FI"/>
              </w:rPr>
            </w:pPr>
            <w:r w:rsidRPr="00D57FE8">
              <w:rPr>
                <w:lang w:val="fi-FI"/>
              </w:rPr>
              <w:t>Ulkomaan rahan määräisten erien muuttaminen</w:t>
            </w:r>
          </w:p>
          <w:p w:rsidR="00D57FE8" w:rsidP="00D57FE8" w14:paraId="1CBC2DA8" w14:textId="3B0D4423">
            <w:pPr>
              <w:pStyle w:val="Bodytext2"/>
              <w:rPr>
                <w:lang w:val="fi-FI"/>
              </w:rPr>
            </w:pPr>
            <w:r w:rsidRPr="00D57FE8">
              <w:rPr>
                <w:lang w:val="fi-FI"/>
              </w:rPr>
              <w:t>Konserni</w:t>
            </w:r>
            <w:r w:rsidR="0086214E">
              <w:rPr>
                <w:lang w:val="fi-FI"/>
              </w:rPr>
              <w:t>yhtiöiden</w:t>
            </w:r>
            <w:r w:rsidRPr="00D57FE8">
              <w:rPr>
                <w:lang w:val="fi-FI"/>
              </w:rPr>
              <w:t xml:space="preserve"> tulosta ja taloudellista asemaa koskevat luvut määritetään kunkin yksikön pääasiallisen toimintaympäristön valuutassa (”toimintavaluutta”). Konsernitilinpäätös on esitetty euroina, joka on Wärtsilä Oyj Abp:n toiminta- ja esittämisvaluutta.</w:t>
            </w:r>
          </w:p>
          <w:p w:rsidR="00D57FE8" w:rsidRPr="00D57FE8" w:rsidP="00D57FE8" w14:paraId="5C438349" w14:textId="77777777">
            <w:pPr>
              <w:pStyle w:val="Bodytext2"/>
              <w:rPr>
                <w:lang w:val="fi-FI"/>
              </w:rPr>
            </w:pPr>
          </w:p>
          <w:p w:rsidR="00D57FE8" w:rsidRPr="00D57FE8" w:rsidP="00D57FE8" w14:paraId="7A303C34" w14:textId="77777777">
            <w:pPr>
              <w:pStyle w:val="Heading13"/>
              <w:rPr>
                <w:lang w:val="fi-FI"/>
              </w:rPr>
            </w:pPr>
            <w:r w:rsidRPr="00D57FE8">
              <w:rPr>
                <w:lang w:val="fi-FI"/>
              </w:rPr>
              <w:t>Ulkomaiset tyt</w:t>
            </w:r>
            <w:r w:rsidRPr="00D57FE8">
              <w:rPr>
                <w:lang w:val="fi-FI"/>
              </w:rPr>
              <w:t>äryhtiöt</w:t>
            </w:r>
          </w:p>
          <w:p w:rsidR="00D57FE8" w:rsidP="00D57FE8" w14:paraId="27827D3F" w14:textId="314F818E">
            <w:pPr>
              <w:pStyle w:val="Bodytext2"/>
              <w:rPr>
                <w:lang w:val="fi-FI"/>
              </w:rPr>
            </w:pPr>
            <w:r w:rsidRPr="00D57FE8">
              <w:rPr>
                <w:lang w:val="fi-FI"/>
              </w:rPr>
              <w:t>Ulkomaisten konserniy</w:t>
            </w:r>
            <w:r w:rsidR="0086214E">
              <w:rPr>
                <w:lang w:val="fi-FI"/>
              </w:rPr>
              <w:t>htiöiden</w:t>
            </w:r>
            <w:r w:rsidRPr="00D57FE8">
              <w:rPr>
                <w:lang w:val="fi-FI"/>
              </w:rPr>
              <w:t xml:space="preserve"> tuloslaskelmien ja laajojen tuloslaskelmien tuotto- ja kuluerät muunnetaan euroiksi kunkin vuosineljänneksen keskikurssia käyttäen ja taseet raportointikauden päättymispäivän kurssin mukaan. </w:t>
            </w:r>
            <w:r>
              <w:rPr>
                <w:lang w:val="fi-FI"/>
              </w:rPr>
              <w:t>Raportointikauden</w:t>
            </w:r>
            <w:r w:rsidRPr="00D57FE8">
              <w:rPr>
                <w:lang w:val="fi-FI"/>
              </w:rPr>
              <w:t xml:space="preserve"> tuloksen</w:t>
            </w:r>
            <w:r w:rsidRPr="00D57FE8">
              <w:rPr>
                <w:lang w:val="fi-FI"/>
              </w:rPr>
              <w:t xml:space="preserve"> ja muiden laajan tuloksen erien muuntaminen eri kursseilla laajassa tuloslaskelmassa ja taseessa aiheuttaa taseessa omaan pääomaan kirjattavan muuntoeron, jonka muutos kirjataan muihin laajan tuloksen eriin. Ulkomaisten y</w:t>
            </w:r>
            <w:r w:rsidR="0086214E">
              <w:rPr>
                <w:lang w:val="fi-FI"/>
              </w:rPr>
              <w:t>htiöiden</w:t>
            </w:r>
            <w:r w:rsidRPr="00D57FE8">
              <w:rPr>
                <w:lang w:val="fi-FI"/>
              </w:rPr>
              <w:t xml:space="preserve"> hankintamenon eliminoinni</w:t>
            </w:r>
            <w:r w:rsidRPr="00D57FE8">
              <w:rPr>
                <w:lang w:val="fi-FI"/>
              </w:rPr>
              <w:t>sta sekä hankinnan jälkeen kertyneiden oman pääoman erien muuntamisesta syntyvät muuntoerot kirjataan muihin laajan tuloksen eriin ja esitetään omana eränään omassa pääomassa. Ulkomaisten y</w:t>
            </w:r>
            <w:r>
              <w:rPr>
                <w:lang w:val="fi-FI"/>
              </w:rPr>
              <w:t>htiöiden</w:t>
            </w:r>
            <w:r w:rsidRPr="00D57FE8">
              <w:rPr>
                <w:lang w:val="fi-FI"/>
              </w:rPr>
              <w:t xml:space="preserve"> hankinnoista syntyvä liikearvo ja kyseisten ulkomaisten yk</w:t>
            </w:r>
            <w:r w:rsidRPr="00D57FE8">
              <w:rPr>
                <w:lang w:val="fi-FI"/>
              </w:rPr>
              <w:t>siköiden varojen ja velkojen kirjanpitoarvoihin hankinnan yhteydessä tehtävät käypien arvojen oikaisut käsitellään kyseisten ulkomaisten yksikköjen varoina ja velkoina. Ne muunnetaan euroiksi raportointikauden päättymispäivän kursseja käyttäen. Kun ulkomai</w:t>
            </w:r>
            <w:r w:rsidRPr="00D57FE8">
              <w:rPr>
                <w:lang w:val="fi-FI"/>
              </w:rPr>
              <w:t>nen tytäryhtiö myydään, tytäryhtiöön liittyvät omaan pääomaan kirjatut kertyneet kurssimuutoserot kirjataan myyntihetkellä tuloslaskelmaan osana voittoa tai tappiota.</w:t>
            </w:r>
          </w:p>
          <w:p w:rsidR="00D57FE8" w:rsidRPr="00D57FE8" w:rsidP="00D57FE8" w14:paraId="011D7078" w14:textId="77777777">
            <w:pPr>
              <w:pStyle w:val="Bodytext2"/>
              <w:rPr>
                <w:lang w:val="fi-FI"/>
              </w:rPr>
            </w:pPr>
          </w:p>
          <w:p w:rsidR="00D57FE8" w:rsidRPr="00D57FE8" w:rsidP="00D57FE8" w14:paraId="540B9228" w14:textId="77777777">
            <w:pPr>
              <w:pStyle w:val="Heading13"/>
              <w:rPr>
                <w:lang w:val="fi-FI"/>
              </w:rPr>
            </w:pPr>
            <w:r w:rsidRPr="00D57FE8">
              <w:rPr>
                <w:lang w:val="fi-FI"/>
              </w:rPr>
              <w:t>Ulkomaan valuutan määräiset erät</w:t>
            </w:r>
          </w:p>
          <w:p w:rsidR="00D57FE8" w:rsidRPr="00D57FE8" w14:paraId="5BC02962" w14:textId="16B01C34">
            <w:pPr>
              <w:pStyle w:val="Bodytext2"/>
              <w:rPr>
                <w:lang w:val="fi-FI"/>
              </w:rPr>
            </w:pPr>
            <w:r w:rsidRPr="00D57FE8">
              <w:rPr>
                <w:lang w:val="fi-FI"/>
              </w:rPr>
              <w:t>Ulkomaan valuutan määräiset liiketapahtumat on kirjattu</w:t>
            </w:r>
            <w:r w:rsidRPr="00D57FE8">
              <w:rPr>
                <w:lang w:val="fi-FI"/>
              </w:rPr>
              <w:t xml:space="preserve"> toimintavaluutan määräisinä käyttäen tapahtumapäivän valuuttakurssia. Saamiset ja velat muunnetaan käyttäen raportointikauden päättymispäivän kursseja</w:t>
            </w:r>
            <w:r>
              <w:rPr>
                <w:lang w:val="fi-FI"/>
              </w:rPr>
              <w:t>. Myynti</w:t>
            </w:r>
            <w:r w:rsidRPr="00D57FE8">
              <w:rPr>
                <w:lang w:val="fi-FI"/>
              </w:rPr>
              <w:t xml:space="preserve">saamisista ja </w:t>
            </w:r>
            <w:r>
              <w:rPr>
                <w:lang w:val="fi-FI"/>
              </w:rPr>
              <w:t>osto</w:t>
            </w:r>
            <w:r w:rsidRPr="00D57FE8">
              <w:rPr>
                <w:lang w:val="fi-FI"/>
              </w:rPr>
              <w:t>veloista syntyvät kurssierot kirjataan niitä vastaavien tuloslaskelman erien oi</w:t>
            </w:r>
            <w:r w:rsidRPr="00D57FE8">
              <w:rPr>
                <w:lang w:val="fi-FI"/>
              </w:rPr>
              <w:t>kaisuiksi, ja ne sisältyvät liiketulokseen. Rahoitusvaroihin ja -velkoihin liittyvät kurssierot esitetään tuloslaskelman rahoituserissä pois lukien sellaisista pitkäaikaisista lainoista syntyvät kurssierot, jotka ovat osa konsernin tytäryhtiöön tekemää net</w:t>
            </w:r>
            <w:r w:rsidRPr="00D57FE8">
              <w:rPr>
                <w:lang w:val="fi-FI"/>
              </w:rPr>
              <w:t>tosijoitusta. Ne kirjataan muihin laajan tuloksen eriin ja esitetään oman pääoman muuntoeroissa.</w:t>
            </w:r>
          </w:p>
        </w:tc>
      </w:tr>
    </w:tbl>
    <w:p w:rsidR="00D57FE8" w:rsidRPr="0086214E" w:rsidP="00D57FE8" w14:paraId="091B3C6B" w14:textId="77777777">
      <w:pPr>
        <w:pStyle w:val="Bodytext2"/>
        <w:rPr>
          <w:color w:val="0F172B"/>
          <w:lang w:val="fi-FI"/>
        </w:rPr>
      </w:pPr>
    </w:p>
    <w:p w:rsidR="00D57FE8" w:rsidP="00D57FE8" w14:paraId="3C82A2A1" w14:textId="144C5E70">
      <w:pPr>
        <w:pStyle w:val="Bodytext2"/>
        <w:rPr>
          <w:color w:val="0F172B"/>
          <w:lang w:val="fi-FI"/>
        </w:rPr>
      </w:pPr>
      <w:r w:rsidRPr="00D57FE8">
        <w:rPr>
          <w:color w:val="0F172B"/>
          <w:lang w:val="fi-FI"/>
        </w:rPr>
        <w:t>Konsernitilinpäätökseen konsolidoidaan noin 60 valuuttaa, joista keskeisimmät esitetään tässä.</w:t>
      </w:r>
    </w:p>
    <w:p w:rsidR="00D57FE8" w:rsidRPr="00D57FE8" w:rsidP="00D57FE8" w14:paraId="50CF9A98" w14:textId="77777777">
      <w:pPr>
        <w:pStyle w:val="Bodytext2"/>
        <w:rPr>
          <w:color w:val="0F172B"/>
          <w:lang w:val="fi-FI"/>
        </w:rPr>
      </w:pPr>
    </w:p>
    <w:tbl>
      <w:tblPr>
        <w:tblStyle w:val="TableNormal"/>
        <w:tblCaption w:val="table_66"/>
        <w:tblW w:w="7320" w:type="dxa"/>
        <w:tblLayout w:type="fixed"/>
        <w:tblLook w:val="0600"/>
      </w:tblPr>
      <w:tblGrid>
        <w:gridCol w:w="690"/>
        <w:gridCol w:w="1770"/>
        <w:gridCol w:w="1215"/>
        <w:gridCol w:w="1215"/>
        <w:gridCol w:w="1215"/>
        <w:gridCol w:w="1215"/>
      </w:tblGrid>
      <w:tr>
        <w:tblPrEx>
          <w:tblW w:w="7320" w:type="dxa"/>
          <w:tblLayout w:type="fixed"/>
          <w:tblLook w:val="0600"/>
        </w:tblPrEx>
        <w:trPr>
          <w:trHeight w:val="300"/>
        </w:trPr>
        <w:tc>
          <w:tcPr>
            <w:tcW w:w="690"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770"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430" w:type="dxa"/>
            <w:gridSpan w:val="2"/>
            <w:tcBorders>
              <w:top w:val="nil"/>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Tilinpäätöskurssi</w:t>
            </w:r>
          </w:p>
        </w:tc>
        <w:tc>
          <w:tcPr>
            <w:tcW w:w="2430" w:type="dxa"/>
            <w:gridSpan w:val="2"/>
            <w:tcBorders>
              <w:top w:val="nil"/>
              <w:left w:val="nil"/>
              <w:bottom w:val="nil"/>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Keskikurssi</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55"/>
        </w:trPr>
        <w:tc>
          <w:tcPr>
            <w:tcW w:w="69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770"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31.12.2020</w:t>
            </w:r>
          </w:p>
        </w:tc>
        <w:tc>
          <w:tcPr>
            <w:tcW w:w="12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31.12.2019</w:t>
            </w:r>
          </w:p>
        </w:tc>
        <w:tc>
          <w:tcPr>
            <w:tcW w:w="121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1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9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AED</w:t>
            </w:r>
          </w:p>
        </w:tc>
        <w:tc>
          <w:tcPr>
            <w:tcW w:w="177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Yhdistyneiden Arabiemiirikuntien dirhami</w:t>
            </w:r>
          </w:p>
        </w:tc>
        <w:tc>
          <w:tcPr>
            <w:tcW w:w="121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4,50689</w:t>
            </w:r>
          </w:p>
        </w:tc>
        <w:tc>
          <w:tcPr>
            <w:tcW w:w="121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4,12602</w:t>
            </w:r>
          </w:p>
        </w:tc>
        <w:tc>
          <w:tcPr>
            <w:tcW w:w="121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4,19169</w:t>
            </w:r>
          </w:p>
        </w:tc>
        <w:tc>
          <w:tcPr>
            <w:tcW w:w="121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4,11203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69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AUD</w:t>
            </w:r>
          </w:p>
        </w:tc>
        <w:tc>
          <w:tcPr>
            <w:tcW w:w="177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Australian dollari</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1,58960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1,59950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1,65540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1,61059</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BRL</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Brasilian real</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6,37350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4,51570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5,89001</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4,41354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CHF</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Sveitsin frangi</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1,08020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1,08540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1,07031</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1,11683</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CNY</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Kiinan juan renminbi</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8,02250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7,82050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7,87084</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7,73388</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DKK</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Tanskan kruunu</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7,44090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7,47150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7,45440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7,46607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GBP</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Englannin punta</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0,89903</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0,85080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0,88921</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0,87731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IDR</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Indonesian rupia</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17 240,76000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15 595,60000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16 619,78000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15 835,95000</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INR</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Intian rupia</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89,66050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80,18700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84,57954</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78,85014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JPY</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Japanin jeni</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126,49000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121,94000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121,77545</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122,05637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NOK</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Norjan kruunu</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10,47030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9,86380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10,72476</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9,84967</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RUB</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Venäjän rupla</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91,46710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69,95630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82,64545</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72,45934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SAR</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Saudi-Arabian rial</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4,60347</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4,21365</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4,28208</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4,19884</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SEK</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Ruotsin kruunu</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10,03430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10,44680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10,48813</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10,58666</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SGD</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Singaporen dollari</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1,62180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1,51110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1,57357</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1,52721</w:t>
            </w:r>
          </w:p>
        </w:tc>
      </w:tr>
      <w:tr>
        <w:tblPrEx>
          <w:tblW w:w="7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USD</w:t>
            </w:r>
          </w:p>
        </w:tc>
        <w:tc>
          <w:tcPr>
            <w:tcW w:w="177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Yhdysvaltain dollari</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1,22710</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1,12340</w:t>
            </w:r>
          </w:p>
        </w:tc>
        <w:tc>
          <w:tcPr>
            <w:tcW w:w="12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1,14128</w:t>
            </w:r>
          </w:p>
        </w:tc>
        <w:tc>
          <w:tcPr>
            <w:tcW w:w="12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1,11960</w:t>
            </w:r>
          </w:p>
        </w:tc>
      </w:tr>
    </w:tbl>
    <w:p w:rsidR="00D57FE8" w:rsidRPr="00D57FE8" w:rsidP="00D57FE8" w14:paraId="7AA5BFA5" w14:textId="77777777">
      <w:pPr>
        <w:pStyle w:val="Bodytext2"/>
        <w:rPr>
          <w:color w:val="auto"/>
          <w:sz w:val="2"/>
          <w:szCs w:val="2"/>
          <w:lang w:val="fi-FI"/>
        </w:rPr>
      </w:pPr>
      <w:r w:rsidRPr="00D57FE8">
        <w:rPr>
          <w:color w:val="0F172B"/>
          <w:sz w:val="2"/>
          <w:szCs w:val="2"/>
          <w:lang w:val="fi-FI"/>
        </w:rPr>
        <w:br w:type="column"/>
      </w:r>
    </w:p>
    <w:p w:rsidR="004A0DF2" w:rsidRPr="00D57FE8" w:rsidP="00D57FE8" w14:textId="0C398F5D">
      <w:pPr>
        <w:rPr>
          <w:sz w:val="2"/>
          <w:szCs w:val="2"/>
          <w:lang w:val="fi-FI"/>
        </w:rPr>
      </w:pPr>
      <w:r>
        <w:t xml:space="preserve"> </w:t>
      </w:r>
    </w:p>
    <w:p w:rsidR="002D1EB5" w:rsidRPr="006A17C2" w:rsidP="002D1EB5" w14:paraId="21B00F36" w14:textId="10CFD28C">
      <w:pPr>
        <w:pStyle w:val="Heading11"/>
        <w:rPr>
          <w:lang w:val="fi-FI"/>
        </w:rPr>
      </w:pPr>
      <w:bookmarkStart w:id="1167" w:name="RG_MARKER_4701"/>
      <w:bookmarkStart w:id="1168" w:name="RG_MARKER_3739"/>
      <w:r w:rsidRPr="006A17C2">
        <w:rPr>
          <w:lang w:val="fi-FI"/>
        </w:rPr>
        <w:t>7. MUUT LIITETIEDOT</w:t>
      </w:r>
      <w:bookmarkEnd w:id="1168"/>
      <w:bookmarkEnd w:id="1167"/>
    </w:p>
    <w:p w:rsidR="002D1EB5" w:rsidRPr="002818EE" w:rsidP="002D1EB5" w14:paraId="7A4447C1" w14:textId="5DC33CC1">
      <w:pPr>
        <w:pStyle w:val="Heading12"/>
        <w:rPr>
          <w:lang w:val="fi-FI"/>
        </w:rPr>
      </w:pPr>
      <w:r w:rsidRPr="002818EE">
        <w:rPr>
          <w:lang w:val="fi-FI"/>
        </w:rPr>
        <w:t xml:space="preserve">7.1. </w:t>
      </w:r>
      <w:r w:rsidRPr="002818EE" w:rsidR="002818EE">
        <w:rPr>
          <w:lang w:val="fi-FI"/>
        </w:rPr>
        <w:t>ANNETUT VAKUUDET, VASTUUSITOUMUKSET JA MUUT VA</w:t>
      </w:r>
      <w:r w:rsidR="002818EE">
        <w:rPr>
          <w:lang w:val="fi-FI"/>
        </w:rPr>
        <w:t>STUUT</w:t>
      </w:r>
    </w:p>
    <w:tbl>
      <w:tblPr>
        <w:tblStyle w:val="TableGrid"/>
        <w:tblW w:w="7371" w:type="dxa"/>
        <w:tblLook w:val="04A0"/>
      </w:tblPr>
      <w:tblGrid>
        <w:gridCol w:w="7371"/>
      </w:tblGrid>
      <w:tr w14:paraId="01447C1A" w14:textId="77777777" w:rsidTr="002D1EB5">
        <w:tblPrEx>
          <w:tblW w:w="7371" w:type="dxa"/>
          <w:tblLook w:val="04A0"/>
        </w:tblPrEx>
        <w:tc>
          <w:tcPr>
            <w:tcW w:w="7371" w:type="dxa"/>
            <w:tcBorders>
              <w:top w:val="nil"/>
              <w:left w:val="nil"/>
              <w:bottom w:val="nil"/>
              <w:right w:val="nil"/>
            </w:tcBorders>
            <w:shd w:val="clear" w:color="auto" w:fill="B6C8D1"/>
            <w:hideMark/>
          </w:tcPr>
          <w:p w:rsidR="002D1EB5" w:rsidRPr="002818EE" w14:paraId="2881BFB6" w14:textId="0598247F">
            <w:pPr>
              <w:pStyle w:val="Heading13"/>
              <w:rPr>
                <w:rFonts w:eastAsiaTheme="minorEastAsia" w:cstheme="minorHAnsi"/>
                <w:lang w:val="fi-FI" w:eastAsia="fi-FI"/>
              </w:rPr>
            </w:pPr>
            <w:r w:rsidRPr="002818EE">
              <w:rPr>
                <w:rFonts w:eastAsiaTheme="minorEastAsia"/>
                <w:lang w:val="fi-FI" w:eastAsia="fi-FI"/>
              </w:rPr>
              <w:t>Laadintaperiaatteet</w:t>
            </w:r>
          </w:p>
          <w:p w:rsidR="002818EE" w:rsidRPr="006A17C2" w14:paraId="14A461B1" w14:textId="77F4AE96">
            <w:pPr>
              <w:pStyle w:val="Bodytext2"/>
              <w:rPr>
                <w:rFonts w:eastAsiaTheme="minorEastAsia"/>
                <w:color w:val="0F172B"/>
                <w:szCs w:val="15"/>
                <w:lang w:val="fi-FI" w:eastAsia="fi-FI"/>
              </w:rPr>
            </w:pPr>
            <w:r w:rsidRPr="002818EE">
              <w:rPr>
                <w:rFonts w:eastAsiaTheme="minorEastAsia"/>
                <w:color w:val="0F172B"/>
                <w:szCs w:val="15"/>
                <w:lang w:val="fi-FI" w:eastAsia="fi-FI"/>
              </w:rPr>
              <w:t xml:space="preserve">Ehdollinen velka on aikaisempien tapahtumien seurauksena syntynyt mahdollinen velvoite, jonka olemassaolo varmistuu vasta konsernin määräysvallan </w:t>
            </w:r>
            <w:r w:rsidRPr="002818EE">
              <w:rPr>
                <w:rFonts w:eastAsiaTheme="minorEastAsia"/>
                <w:color w:val="0F172B"/>
                <w:szCs w:val="15"/>
                <w:lang w:val="fi-FI" w:eastAsia="fi-FI"/>
              </w:rPr>
              <w:t>ulkopuolella olevan epävarman tapahtuman realisoituessa. Ehdolliseksi velaksi katsotaan myös sellainen olemassa oleva velvoite, joka ei todennäköisesti edellytä maksuvelvoitteen täyttämistä, tai jonka suuruutta ei voida määrittää luotettavasti.</w:t>
            </w:r>
          </w:p>
        </w:tc>
      </w:tr>
    </w:tbl>
    <w:p w:rsidR="002D1EB5" w:rsidRPr="006A17C2" w:rsidP="002D1EB5" w14:paraId="3B5998C9" w14:textId="77777777">
      <w:pPr>
        <w:pStyle w:val="Bodytext2"/>
        <w:rPr>
          <w:color w:val="0F172B"/>
          <w:szCs w:val="15"/>
          <w:lang w:val="fi-FI"/>
        </w:rPr>
      </w:pPr>
    </w:p>
    <w:tbl>
      <w:tblPr>
        <w:tblStyle w:val="TableNormal"/>
        <w:tblCaption w:val="table_71_mortgages"/>
        <w:tblW w:w="7470" w:type="dxa"/>
        <w:tblLayout w:type="fixed"/>
        <w:tblLook w:val="0600"/>
      </w:tblPr>
      <w:tblGrid>
        <w:gridCol w:w="75"/>
        <w:gridCol w:w="3495"/>
        <w:gridCol w:w="975"/>
        <w:gridCol w:w="975"/>
        <w:gridCol w:w="975"/>
        <w:gridCol w:w="975"/>
      </w:tblGrid>
      <w:tr>
        <w:tblPrEx>
          <w:tblW w:w="7470" w:type="dxa"/>
          <w:tblLayout w:type="fixed"/>
          <w:tblLook w:val="0600"/>
        </w:tblPrEx>
        <w:trPr>
          <w:trHeight w:val="300"/>
        </w:trPr>
        <w:tc>
          <w:tcPr>
            <w:tcW w:w="7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495"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75" w:type="dxa"/>
            <w:tcBorders>
              <w:top w:val="nil"/>
              <w:left w:val="nil"/>
              <w:bottom w:val="nil"/>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nil"/>
              <w:left w:val="nil"/>
              <w:bottom w:val="nil"/>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975" w:type="dxa"/>
            <w:tcBorders>
              <w:top w:val="nil"/>
              <w:left w:val="nil"/>
              <w:bottom w:val="nil"/>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nil"/>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7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Taseen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velka-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määrä</w:t>
            </w:r>
          </w:p>
        </w:tc>
        <w:tc>
          <w:tcPr>
            <w:tcW w:w="97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Kiinnitykset</w:t>
            </w:r>
          </w:p>
        </w:tc>
        <w:tc>
          <w:tcPr>
            <w:tcW w:w="97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Taseen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velka-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määrä</w:t>
            </w:r>
          </w:p>
        </w:tc>
        <w:tc>
          <w:tcPr>
            <w:tcW w:w="97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Kiinnitykset</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 ja vastuut, joiden vakuudeksi on annettu kiinteistökiinnityksiä</w:t>
            </w:r>
          </w:p>
        </w:tc>
        <w:tc>
          <w:tcPr>
            <w:tcW w:w="97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70" w:type="dxa"/>
            <w:gridSpan w:val="2"/>
            <w:tcBorders>
              <w:top w:val="nil"/>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vastuut</w:t>
            </w:r>
          </w:p>
        </w:tc>
        <w:tc>
          <w:tcPr>
            <w:tcW w:w="97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7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7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97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97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7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w:t>
            </w:r>
          </w:p>
        </w:tc>
        <w:tc>
          <w:tcPr>
            <w:tcW w:w="9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9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49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 </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Velat ja vastuut ja muut sitoumukset sekä vakuudet, joiden vakuudeksi on annettu yrityskiinnityksiä</w:t>
            </w:r>
          </w:p>
        </w:tc>
        <w:tc>
          <w:tcPr>
            <w:tcW w:w="97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70"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lainat rahoituslaitoksilta</w:t>
            </w:r>
          </w:p>
        </w:tc>
        <w:tc>
          <w:tcPr>
            <w:tcW w:w="97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7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9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70"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vastuut</w:t>
            </w:r>
          </w:p>
        </w:tc>
        <w:tc>
          <w:tcPr>
            <w:tcW w:w="97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9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21</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97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7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9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c>
          <w:tcPr>
            <w:tcW w:w="9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r>
    </w:tbl>
    <w:p w:rsidR="002D1EB5" w:rsidP="002D1EB5" w14:paraId="7D7E4F58" w14:textId="77777777">
      <w:pPr>
        <w:pStyle w:val="Bodytext2"/>
        <w:rPr>
          <w:color w:val="0F172B"/>
          <w:szCs w:val="15"/>
          <w:lang w:val="en-GB"/>
        </w:rPr>
      </w:pPr>
    </w:p>
    <w:tbl>
      <w:tblPr>
        <w:tblStyle w:val="TableNormal"/>
        <w:tblCaption w:val="table_71_guarantees"/>
        <w:tblW w:w="7470" w:type="dxa"/>
        <w:tblLayout w:type="fixed"/>
        <w:tblLook w:val="0600"/>
      </w:tblPr>
      <w:tblGrid>
        <w:gridCol w:w="75"/>
        <w:gridCol w:w="3495"/>
        <w:gridCol w:w="975"/>
        <w:gridCol w:w="975"/>
        <w:gridCol w:w="975"/>
        <w:gridCol w:w="975"/>
      </w:tblGrid>
      <w:tr>
        <w:tblPrEx>
          <w:tblW w:w="7470" w:type="dxa"/>
          <w:tblLayout w:type="fixed"/>
          <w:tblLook w:val="0600"/>
        </w:tblPrEx>
        <w:trPr>
          <w:trHeight w:val="240"/>
        </w:trPr>
        <w:tc>
          <w:tcPr>
            <w:tcW w:w="3570" w:type="dxa"/>
            <w:gridSpan w:val="2"/>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7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 </w:t>
            </w:r>
          </w:p>
        </w:tc>
        <w:tc>
          <w:tcPr>
            <w:tcW w:w="97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97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Takaukset ja vastuusitoumukset </w:t>
            </w:r>
          </w:p>
        </w:tc>
        <w:tc>
          <w:tcPr>
            <w:tcW w:w="9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4" w:space="0" w:color="004A6B"/>
              <w:left w:val="nil"/>
              <w:bottom w:val="single" w:sz="8" w:space="0" w:color="0F172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samaan konserniin kuuluvien yritysten puolesta</w:t>
            </w:r>
          </w:p>
        </w:tc>
        <w:tc>
          <w:tcPr>
            <w:tcW w:w="9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887</w:t>
            </w:r>
          </w:p>
        </w:tc>
        <w:tc>
          <w:tcPr>
            <w:tcW w:w="9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718</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975"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887</w:t>
            </w:r>
          </w:p>
        </w:tc>
        <w:tc>
          <w:tcPr>
            <w:tcW w:w="97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718</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49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Vuokrasopimusvelkojen nimellisarvot</w:t>
            </w:r>
          </w:p>
        </w:tc>
        <w:tc>
          <w:tcPr>
            <w:tcW w:w="9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4" w:space="0" w:color="004A6B"/>
              <w:left w:val="nil"/>
              <w:bottom w:val="single" w:sz="4" w:space="0" w:color="004A6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Velat vuokrasopimuksista, joissa kohdeomaisuuserän arvo on vähäinen </w:t>
            </w:r>
          </w:p>
        </w:tc>
        <w:tc>
          <w:tcPr>
            <w:tcW w:w="9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9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570"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Velat lyhytaikaisista vuokrasopimuksista</w:t>
            </w:r>
          </w:p>
        </w:tc>
        <w:tc>
          <w:tcPr>
            <w:tcW w:w="97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7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4" w:space="0" w:color="004A6B"/>
              <w:left w:val="nil"/>
              <w:bottom w:val="single" w:sz="8" w:space="0" w:color="0F172B"/>
              <w:right w:val="nil"/>
              <w:tl2br w:val="nil"/>
              <w:tr2bl w:val="nil"/>
            </w:tcBorders>
            <w:shd w:val="clear" w:color="FFFFFF" w:fill="FFFFFF"/>
            <w:noWrap w:val="0"/>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Vielä alkamattomat vuokrasopimukset, joihin Wärtsilä on sitoutunut</w:t>
            </w:r>
          </w:p>
        </w:tc>
        <w:tc>
          <w:tcPr>
            <w:tcW w:w="97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191</w:t>
            </w:r>
          </w:p>
        </w:tc>
        <w:tc>
          <w:tcPr>
            <w:tcW w:w="9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143</w:t>
            </w:r>
          </w:p>
        </w:tc>
      </w:tr>
      <w:tr>
        <w:tblPrEx>
          <w:tblW w:w="7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570" w:type="dxa"/>
            <w:gridSpan w:val="2"/>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975" w:type="dxa"/>
            <w:tcBorders>
              <w:top w:val="single" w:sz="8" w:space="0" w:color="0F172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7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w:t>
            </w:r>
          </w:p>
        </w:tc>
        <w:tc>
          <w:tcPr>
            <w:tcW w:w="97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151</w:t>
            </w:r>
          </w:p>
        </w:tc>
      </w:tr>
    </w:tbl>
    <w:p w:rsidR="002D1EB5" w:rsidP="002D1EB5" w14:paraId="71B6DF92" w14:textId="77777777">
      <w:pPr>
        <w:pStyle w:val="Bodytext2"/>
        <w:rPr>
          <w:color w:val="0F172B"/>
          <w:szCs w:val="15"/>
          <w:lang w:val="en-GB"/>
        </w:rPr>
      </w:pPr>
      <w:r>
        <w:t xml:space="preserve"> </w:t>
      </w:r>
    </w:p>
    <w:p/>
    <w:p w:rsidR="00C30A26" w:rsidRPr="00AE28F0" w:rsidP="00C30A26" w14:paraId="20D38AB0" w14:textId="414F7A5F">
      <w:pPr>
        <w:pStyle w:val="Heading12"/>
        <w:rPr>
          <w:lang w:val="fi-FI"/>
        </w:rPr>
      </w:pPr>
      <w:bookmarkStart w:id="1169" w:name="RG_MARKER_4702"/>
      <w:r w:rsidRPr="00AE28F0">
        <w:rPr>
          <w:lang w:val="fi-FI"/>
        </w:rPr>
        <w:t>7.2. LÄHIPIIRITAPAHTUMAT</w:t>
      </w:r>
      <w:bookmarkEnd w:id="1169"/>
    </w:p>
    <w:p w:rsidR="00C30A26" w:rsidP="00C30A26" w14:paraId="330233AB" w14:textId="63D075E4">
      <w:pPr>
        <w:pStyle w:val="Bodytext2"/>
        <w:rPr>
          <w:lang w:val="fi-FI"/>
        </w:rPr>
      </w:pPr>
      <w:r w:rsidRPr="00092568">
        <w:rPr>
          <w:lang w:val="fi-FI"/>
        </w:rPr>
        <w:t>Lähipiirin muodostavat emoyhtiö, tytäryhtiöt sekä osakkuus- ja yhteisyritykset. Siihen kuuluvat myös hallituksen jäsenet, toimitusjohtaja, johtokunnan jäsenet</w:t>
      </w:r>
      <w:r w:rsidRPr="00092568" w:rsidR="008E30CD">
        <w:rPr>
          <w:lang w:val="fi-FI"/>
        </w:rPr>
        <w:t xml:space="preserve"> sekä </w:t>
      </w:r>
      <w:r w:rsidRPr="00092568">
        <w:rPr>
          <w:lang w:val="fi-FI"/>
        </w:rPr>
        <w:t xml:space="preserve">heidän perheenjäsenensä </w:t>
      </w:r>
      <w:r w:rsidRPr="00092568" w:rsidR="008E30CD">
        <w:rPr>
          <w:lang w:val="fi-FI"/>
        </w:rPr>
        <w:t>ja</w:t>
      </w:r>
      <w:r w:rsidRPr="00092568">
        <w:rPr>
          <w:lang w:val="fi-FI"/>
        </w:rPr>
        <w:t xml:space="preserve"> suoras</w:t>
      </w:r>
      <w:r w:rsidRPr="00092568" w:rsidR="00AE28F0">
        <w:rPr>
          <w:lang w:val="fi-FI"/>
        </w:rPr>
        <w:t>sa</w:t>
      </w:r>
      <w:r w:rsidRPr="00092568">
        <w:rPr>
          <w:lang w:val="fi-FI"/>
        </w:rPr>
        <w:t xml:space="preserve"> tai e</w:t>
      </w:r>
      <w:r w:rsidRPr="00092568" w:rsidR="00AE28F0">
        <w:rPr>
          <w:lang w:val="fi-FI"/>
        </w:rPr>
        <w:t>p</w:t>
      </w:r>
      <w:r w:rsidRPr="00092568">
        <w:rPr>
          <w:lang w:val="fi-FI"/>
        </w:rPr>
        <w:t>äsuoras</w:t>
      </w:r>
      <w:r w:rsidRPr="00092568" w:rsidR="00AE28F0">
        <w:rPr>
          <w:lang w:val="fi-FI"/>
        </w:rPr>
        <w:t>sa</w:t>
      </w:r>
      <w:r w:rsidRPr="00092568">
        <w:rPr>
          <w:lang w:val="fi-FI"/>
        </w:rPr>
        <w:t xml:space="preserve"> </w:t>
      </w:r>
      <w:r w:rsidRPr="00092568" w:rsidR="00AE28F0">
        <w:rPr>
          <w:lang w:val="fi-FI"/>
        </w:rPr>
        <w:t>määräysvallassaan olevat yhteisöt.</w:t>
      </w:r>
    </w:p>
    <w:p w:rsidR="00486E69" w:rsidRPr="00486E69" w:rsidP="00C30A26" w14:paraId="47C19771" w14:textId="77777777">
      <w:pPr>
        <w:pStyle w:val="Bodytext2"/>
        <w:rPr>
          <w:lang w:val="fi-FI"/>
        </w:rPr>
      </w:pPr>
    </w:p>
    <w:p w:rsidR="00C30A26" w:rsidRPr="00486E69" w:rsidP="00C30A26" w14:paraId="7684F9C4" w14:textId="4E82BEEC">
      <w:pPr>
        <w:pStyle w:val="Heading13"/>
        <w:rPr>
          <w:lang w:val="fi-FI"/>
        </w:rPr>
      </w:pPr>
      <w:r w:rsidRPr="00486E69">
        <w:rPr>
          <w:lang w:val="fi-FI"/>
        </w:rPr>
        <w:t>Johdon palkitseminen</w:t>
      </w:r>
    </w:p>
    <w:p w:rsidR="00C30A26" w:rsidRPr="00486E69" w:rsidP="00C30A26" w14:paraId="666EBB74" w14:textId="77777777">
      <w:pPr>
        <w:pStyle w:val="Bodytext2"/>
        <w:rPr>
          <w:lang w:val="fi-FI"/>
        </w:rPr>
      </w:pPr>
    </w:p>
    <w:tbl>
      <w:tblPr>
        <w:tblStyle w:val="TableNormal"/>
        <w:tblCaption w:val="table_72_benefits"/>
        <w:tblW w:w="7410" w:type="dxa"/>
        <w:tblLayout w:type="fixed"/>
        <w:tblLook w:val="0600"/>
      </w:tblPr>
      <w:tblGrid>
        <w:gridCol w:w="60"/>
        <w:gridCol w:w="4860"/>
        <w:gridCol w:w="1245"/>
        <w:gridCol w:w="1245"/>
      </w:tblGrid>
      <w:tr>
        <w:tblPrEx>
          <w:tblW w:w="7410" w:type="dxa"/>
          <w:tblLayout w:type="fixed"/>
          <w:tblLook w:val="0600"/>
        </w:tblPrEx>
        <w:trPr>
          <w:trHeight w:val="240"/>
        </w:trPr>
        <w:tc>
          <w:tcPr>
            <w:tcW w:w="60"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860" w:type="dxa"/>
            <w:tcBorders>
              <w:top w:val="nil"/>
              <w:left w:val="nil"/>
              <w:bottom w:val="nil"/>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2490" w:type="dxa"/>
            <w:gridSpan w:val="2"/>
            <w:tcBorders>
              <w:top w:val="nil"/>
              <w:left w:val="nil"/>
              <w:bottom w:val="nil"/>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Tuloslaskelmaan kirjatut etuudet</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920" w:type="dxa"/>
            <w:gridSpan w:val="2"/>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TEUR</w:t>
            </w:r>
          </w:p>
        </w:tc>
        <w:tc>
          <w:tcPr>
            <w:tcW w:w="124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920" w:type="dxa"/>
            <w:gridSpan w:val="2"/>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Toimitusjohtaja</w:t>
            </w: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Palkat ja muut lyhytaikaiset työsuhde-etuudet</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1 177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894</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nil"/>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Lakisääteisistä eläkkeistä aiheutuneet kustannukset</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184</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123</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Vapaaehtoisista eläkkeistä aiheutuneet kustannukset</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179</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179</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konsernin johtokunnan jäsenet</w:t>
            </w:r>
          </w:p>
        </w:tc>
        <w:tc>
          <w:tcPr>
            <w:tcW w:w="1245"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nil"/>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Palkat ja muut lyhytaikaiset työsuhde-etuudet</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3 225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2 371</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nil"/>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Lakisääteisistä eläkkeistä aiheutuneet kustannukset</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267</w:t>
            </w:r>
          </w:p>
        </w:tc>
        <w:tc>
          <w:tcPr>
            <w:tcW w:w="1245" w:type="dxa"/>
            <w:tcBorders>
              <w:top w:val="nil"/>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305</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8" w:space="0" w:color="0F172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Vapaaehtoisista eläkkeistä aiheutuneet kustannukset</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247</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342</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5 279</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4 214</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86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920" w:type="dxa"/>
            <w:gridSpan w:val="2"/>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Hallituksen jäsenet 31.12.2020</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Tom Johnstone, hallituksen puheenjohtaja</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163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117</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Markus Rauramo, hallituksen varapuheenjohtaja</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Maarit Aarni-Sirviö, hallituksen jäsen</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92</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Karen Bomba, hallituksen jäsen</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Karin Falk, hallituksen jäsen</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Johan Forssell, hallituksen jäsen</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85</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81</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Risto Murto, hallituksen jäsen</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Mats Rahmström, hallituksen jäsen</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79</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Hallituksen jäsenet 5.3.2020 asti</w:t>
            </w: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4" w:space="0" w:color="004A6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Kaj-Gustaf Bergh, hallituksen jäsen</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81</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4" w:space="0" w:color="004A6B"/>
              <w:left w:val="nil"/>
              <w:bottom w:val="single" w:sz="8" w:space="0" w:color="0F172B"/>
              <w:right w:val="nil"/>
              <w:tl2br w:val="nil"/>
              <w:tr2bl w:val="nil"/>
            </w:tcBorders>
            <w:shd w:val="clear" w:color="auto" w:fill="auto"/>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Mikael Lilius, hallituksen jäsen</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172</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814</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806</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6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4860"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245" w:type="dxa"/>
            <w:tcBorders>
              <w:top w:val="single" w:sz="4" w:space="0" w:color="004A6B"/>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920" w:type="dxa"/>
            <w:gridSpan w:val="2"/>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Johdon palkitseminen yhteensä</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6 093</w:t>
            </w:r>
          </w:p>
        </w:tc>
        <w:tc>
          <w:tcPr>
            <w:tcW w:w="124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5 020</w:t>
            </w:r>
          </w:p>
        </w:tc>
      </w:tr>
    </w:tbl>
    <w:p w:rsidR="00C30A26" w:rsidRPr="00092568" w:rsidP="00C30A26" w14:paraId="25B01CAF" w14:textId="77777777">
      <w:pPr>
        <w:pStyle w:val="Bodytext2"/>
        <w:rPr>
          <w:lang w:val="fi-FI"/>
        </w:rPr>
      </w:pPr>
    </w:p>
    <w:p w:rsidR="00C30A26" w:rsidRPr="008052E3" w:rsidP="00C30A26" w14:paraId="059E25AF" w14:textId="0F5806FF">
      <w:pPr>
        <w:pStyle w:val="Bodytext2"/>
        <w:rPr>
          <w:sz w:val="2"/>
          <w:szCs w:val="2"/>
          <w:lang w:val="fi-FI"/>
        </w:rPr>
      </w:pPr>
      <w:r w:rsidRPr="00C30A26">
        <w:rPr>
          <w:lang w:val="fi-FI"/>
        </w:rPr>
        <w:t xml:space="preserve">Toimitusjohtaja sekä hallituksen ja johtokunnan jäsenet omistivat vuoden lopussa </w:t>
      </w:r>
      <w:r>
        <w:rPr>
          <w:lang w:val="fi-FI"/>
        </w:rPr>
        <w:t>238</w:t>
      </w:r>
      <w:r w:rsidRPr="00C30A26">
        <w:rPr>
          <w:lang w:val="fi-FI"/>
        </w:rPr>
        <w:t>.</w:t>
      </w:r>
      <w:r>
        <w:rPr>
          <w:lang w:val="fi-FI"/>
        </w:rPr>
        <w:t>875</w:t>
      </w:r>
      <w:r w:rsidRPr="00C30A26">
        <w:rPr>
          <w:lang w:val="fi-FI"/>
        </w:rPr>
        <w:t xml:space="preserve"> (</w:t>
      </w:r>
      <w:r>
        <w:rPr>
          <w:lang w:val="fi-FI"/>
        </w:rPr>
        <w:t>289</w:t>
      </w:r>
      <w:r w:rsidRPr="00C30A26">
        <w:rPr>
          <w:lang w:val="fi-FI"/>
        </w:rPr>
        <w:t>.</w:t>
      </w:r>
      <w:r>
        <w:rPr>
          <w:lang w:val="fi-FI"/>
        </w:rPr>
        <w:t>036</w:t>
      </w:r>
      <w:r w:rsidRPr="00C30A26">
        <w:rPr>
          <w:lang w:val="fi-FI"/>
        </w:rPr>
        <w:t>) Wärtsilän osaketta.</w:t>
      </w:r>
      <w:r>
        <w:rPr>
          <w:lang w:val="fi-FI"/>
        </w:rPr>
        <w:br w:type="column"/>
      </w:r>
    </w:p>
    <w:p w:rsidR="00C30A26" w:rsidP="00C30A26" w14:paraId="4037FF81" w14:textId="0E2A46EA">
      <w:pPr>
        <w:pStyle w:val="Bodytext2"/>
        <w:rPr>
          <w:lang w:val="fi-FI"/>
        </w:rPr>
      </w:pPr>
      <w:r w:rsidRPr="00C30A26">
        <w:rPr>
          <w:lang w:val="fi-FI"/>
        </w:rPr>
        <w:t>Toimitusjohtajalla on oikeus jäädä eläkkeelle 63-vuoti</w:t>
      </w:r>
      <w:r w:rsidRPr="00C30A26">
        <w:rPr>
          <w:lang w:val="fi-FI"/>
        </w:rPr>
        <w:t>aana. Johtokunnan jäsenillä on oikeus jäädä eläkkeelle, kun lakisääteinen eläkeikä on saavutettu. Yhdellä johtokunnan jäsenellä on oikeus jäädä eläkkeelle aikaisemmin, 60-vuotiaana. Yhtiöllä ei ole lainasaamisia konsernin johdolta tai hallituksen jäseniltä</w:t>
      </w:r>
      <w:r w:rsidRPr="00C30A26">
        <w:rPr>
          <w:lang w:val="fi-FI"/>
        </w:rPr>
        <w:t>. Johdon tai osakkaiden puolesta ei ole annettu pantteja tai muita vastuita.</w:t>
      </w:r>
    </w:p>
    <w:p w:rsidR="00C30A26" w:rsidRPr="00C30A26" w:rsidP="00C30A26" w14:paraId="06EF46DE" w14:textId="77777777">
      <w:pPr>
        <w:pStyle w:val="Bodytext2"/>
        <w:rPr>
          <w:lang w:val="fi-FI"/>
        </w:rPr>
      </w:pPr>
    </w:p>
    <w:p w:rsidR="00C30A26" w:rsidRPr="00C30A26" w:rsidP="00C30A26" w14:paraId="6A10D8C7" w14:textId="3F51DD51">
      <w:pPr>
        <w:pStyle w:val="Heading13"/>
        <w:rPr>
          <w:lang w:val="fi-FI"/>
        </w:rPr>
      </w:pPr>
      <w:r w:rsidRPr="00C30A26">
        <w:rPr>
          <w:lang w:val="fi-FI"/>
        </w:rPr>
        <w:t>Liiketoimet osakkuus- ja yhteisyritysten kanssa</w:t>
      </w:r>
    </w:p>
    <w:p w:rsidR="00C30A26" w:rsidRPr="00092568" w:rsidP="00C30A26" w14:paraId="32668900" w14:textId="77777777">
      <w:pPr>
        <w:pStyle w:val="Bodytext2"/>
        <w:rPr>
          <w:lang w:val="fi-FI"/>
        </w:rPr>
      </w:pPr>
    </w:p>
    <w:tbl>
      <w:tblPr>
        <w:tblStyle w:val="TableNormal"/>
        <w:tblCaption w:val="table_72_ass_jv"/>
        <w:tblW w:w="7410" w:type="dxa"/>
        <w:tblLayout w:type="fixed"/>
        <w:tblLook w:val="0600"/>
      </w:tblPr>
      <w:tblGrid>
        <w:gridCol w:w="4920"/>
        <w:gridCol w:w="1245"/>
        <w:gridCol w:w="1245"/>
      </w:tblGrid>
      <w:tr>
        <w:tblPrEx>
          <w:tblW w:w="7410" w:type="dxa"/>
          <w:tblLayout w:type="fixed"/>
          <w:tblLook w:val="0600"/>
        </w:tblPrEx>
        <w:trPr>
          <w:trHeight w:hRule="exact" w:val="240"/>
        </w:trPr>
        <w:tc>
          <w:tcPr>
            <w:tcW w:w="4920"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24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245" w:type="dxa"/>
            <w:tcBorders>
              <w:top w:val="nil"/>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920" w:type="dxa"/>
            <w:tcBorders>
              <w:top w:val="single" w:sz="8" w:space="0" w:color="0F172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Myynnit osakkuus- ja yhteisyrityksille</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24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31</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9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Ostot osakkuus- ja yhteisyrityksiltä</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67</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9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Saamiset osakkuus- ja yhteisyrityksiltä</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9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Osakkuus- ja yhteisyrityksille maksetut ennakot</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920"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Velat osakkuus- ja yhteisyrityksille</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24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bl>
    <w:p w:rsidR="00C30A26" w:rsidRPr="00C30A26" w:rsidP="00C30A26" w14:paraId="5363F366" w14:textId="77777777">
      <w:pPr>
        <w:pStyle w:val="Bodytext2"/>
        <w:rPr>
          <w:lang w:val="fi-FI"/>
        </w:rPr>
      </w:pPr>
    </w:p>
    <w:p w:rsidR="004A0DF2" w:rsidRPr="008E30CD" w:rsidP="00C30A26" w14:textId="79374C60">
      <w:pPr>
        <w:pStyle w:val="Bodytext2"/>
        <w:rPr>
          <w:lang w:val="fi-FI"/>
        </w:rPr>
      </w:pPr>
      <w:r w:rsidRPr="00C30A26">
        <w:rPr>
          <w:lang w:val="fi-FI"/>
        </w:rPr>
        <w:t xml:space="preserve">Lisätietoja osakkuus- ja yhteisyrityksistä esitetään liitetiedossa </w:t>
      </w:r>
      <w:r w:rsidR="008E30CD">
        <w:rPr>
          <w:lang w:val="fi-FI"/>
        </w:rPr>
        <w:t>6.4</w:t>
      </w:r>
      <w:r w:rsidRPr="00C30A26">
        <w:rPr>
          <w:lang w:val="fi-FI"/>
        </w:rPr>
        <w:t xml:space="preserve">. </w:t>
      </w:r>
      <w:r w:rsidRPr="008E30CD">
        <w:rPr>
          <w:lang w:val="fi-FI"/>
        </w:rPr>
        <w:t>Sijoitukset osakkuus- ja yhteisyrit</w:t>
      </w:r>
      <w:r w:rsidRPr="008E30CD">
        <w:rPr>
          <w:lang w:val="fi-FI"/>
        </w:rPr>
        <w:t>yksiin.</w:t>
      </w:r>
    </w:p>
    <w:p/>
    <w:p w:rsidR="008A116B" w:rsidP="008A116B" w14:paraId="350049F0" w14:textId="67214637">
      <w:pPr>
        <w:pStyle w:val="Heading12"/>
        <w:rPr>
          <w:lang w:val="fi-FI"/>
        </w:rPr>
      </w:pPr>
      <w:bookmarkStart w:id="1170" w:name="RG_MARKER_4703"/>
      <w:r w:rsidRPr="008A116B">
        <w:rPr>
          <w:lang w:val="fi-FI"/>
        </w:rPr>
        <w:t>7.3. TILINTARKASTAJIEN PALKKIOT JA PALVELUT</w:t>
      </w:r>
      <w:bookmarkEnd w:id="1170"/>
    </w:p>
    <w:p w:rsidR="008A116B" w:rsidP="008A116B" w14:paraId="5A825321" w14:textId="1C02DDB6">
      <w:pPr>
        <w:pStyle w:val="Bodytext2"/>
        <w:rPr>
          <w:lang w:val="fi-FI"/>
        </w:rPr>
      </w:pPr>
      <w:r w:rsidRPr="008A116B">
        <w:rPr>
          <w:lang w:val="fi-FI"/>
        </w:rPr>
        <w:t xml:space="preserve">Seuraavat palkkiot maksettiin tilintarkastajille ja tilintarkastustoimistoille lakisääteisestä tarkastuksesta sekä neuvonantamisesta ja ohjauksesta että riippumattomista </w:t>
      </w:r>
      <w:r w:rsidRPr="008A116B">
        <w:rPr>
          <w:lang w:val="fi-FI"/>
        </w:rPr>
        <w:t>asiantuntijapalveluista.</w:t>
      </w:r>
    </w:p>
    <w:p w:rsidR="008A116B" w:rsidRPr="008A116B" w:rsidP="008A116B" w14:paraId="1B197CF4" w14:textId="77777777">
      <w:pPr>
        <w:pStyle w:val="Bodytext2"/>
        <w:rPr>
          <w:lang w:val="fi-FI"/>
        </w:rPr>
      </w:pPr>
    </w:p>
    <w:p w:rsidR="008A116B" w:rsidP="008A116B" w14:paraId="26135653" w14:textId="6FFE078D">
      <w:pPr>
        <w:pStyle w:val="Bodytext2"/>
        <w:rPr>
          <w:lang w:val="fi-FI"/>
        </w:rPr>
      </w:pPr>
      <w:r w:rsidRPr="008A116B">
        <w:rPr>
          <w:lang w:val="fi-FI"/>
        </w:rPr>
        <w:t>Vuonna 20</w:t>
      </w:r>
      <w:r>
        <w:rPr>
          <w:lang w:val="fi-FI"/>
        </w:rPr>
        <w:t>20</w:t>
      </w:r>
      <w:r w:rsidRPr="008A116B">
        <w:rPr>
          <w:lang w:val="fi-FI"/>
        </w:rPr>
        <w:t xml:space="preserve"> yhtiökokous valitsi Wärtsilä Oyj Abp:n tilintarkastajaksi tilintarkastysyhteisön PricewaterhouseCoopers Oy. PricewaterhouseCoopers Oy:n suorittamat muut kuin tilintarkastuspalvelut Wärtsilä-konsernin yhtiöille olivat y</w:t>
      </w:r>
      <w:r w:rsidRPr="008A116B">
        <w:rPr>
          <w:lang w:val="fi-FI"/>
        </w:rPr>
        <w:t xml:space="preserve">hteensä </w:t>
      </w:r>
      <w:r>
        <w:rPr>
          <w:lang w:val="fi-FI"/>
        </w:rPr>
        <w:t>0,4 milj.</w:t>
      </w:r>
      <w:r w:rsidRPr="008A116B">
        <w:rPr>
          <w:lang w:val="fi-FI"/>
        </w:rPr>
        <w:t xml:space="preserve"> euroa. Palvelut koostuivat veroneuvonnasta (</w:t>
      </w:r>
      <w:r>
        <w:rPr>
          <w:lang w:val="fi-FI"/>
        </w:rPr>
        <w:t xml:space="preserve">0,3 milj. </w:t>
      </w:r>
      <w:r w:rsidRPr="008A116B">
        <w:rPr>
          <w:lang w:val="fi-FI"/>
        </w:rPr>
        <w:t>euroa) ja muista palveluista (</w:t>
      </w:r>
      <w:r>
        <w:rPr>
          <w:lang w:val="fi-FI"/>
        </w:rPr>
        <w:t>0,1 milj.</w:t>
      </w:r>
      <w:r w:rsidRPr="008A116B">
        <w:rPr>
          <w:lang w:val="fi-FI"/>
        </w:rPr>
        <w:t xml:space="preserve"> euroa).</w:t>
      </w:r>
    </w:p>
    <w:p w:rsidR="008A116B" w:rsidRPr="008A116B" w:rsidP="008A116B" w14:paraId="674FC40F" w14:textId="77777777">
      <w:pPr>
        <w:pStyle w:val="Bodytext2"/>
        <w:rPr>
          <w:lang w:val="fi-FI"/>
        </w:rPr>
      </w:pPr>
    </w:p>
    <w:tbl>
      <w:tblPr>
        <w:tblStyle w:val="TableNormal"/>
        <w:tblCaption w:val="table_73"/>
        <w:tblW w:w="7350" w:type="dxa"/>
        <w:tblLayout w:type="fixed"/>
        <w:tblLook w:val="0600"/>
      </w:tblPr>
      <w:tblGrid>
        <w:gridCol w:w="3030"/>
        <w:gridCol w:w="1080"/>
        <w:gridCol w:w="1080"/>
        <w:gridCol w:w="1080"/>
        <w:gridCol w:w="1080"/>
      </w:tblGrid>
      <w:tr>
        <w:tblPrEx>
          <w:tblW w:w="7350" w:type="dxa"/>
          <w:tblLayout w:type="fixed"/>
          <w:tblLook w:val="0600"/>
        </w:tblPrEx>
        <w:trPr>
          <w:trHeight w:hRule="exact" w:val="240"/>
        </w:trPr>
        <w:tc>
          <w:tcPr>
            <w:tcW w:w="303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080" w:type="dxa"/>
            <w:tcBorders>
              <w:top w:val="nil"/>
              <w:left w:val="nil"/>
              <w:bottom w:val="nil"/>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80" w:type="dxa"/>
            <w:tcBorders>
              <w:top w:val="nil"/>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8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PwC</w:t>
            </w:r>
          </w:p>
        </w:tc>
        <w:tc>
          <w:tcPr>
            <w:tcW w:w="108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PwC</w:t>
            </w:r>
          </w:p>
        </w:tc>
        <w:tc>
          <w:tcPr>
            <w:tcW w:w="108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Muut</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Tilintarkastus</w:t>
            </w: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4,2</w:t>
            </w:r>
          </w:p>
        </w:tc>
        <w:tc>
          <w:tcPr>
            <w:tcW w:w="108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0,4</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08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0,5</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Veroneuvonta</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0,3</w:t>
            </w:r>
          </w:p>
        </w:tc>
        <w:tc>
          <w:tcPr>
            <w:tcW w:w="108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0,2</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0,2</w:t>
            </w:r>
          </w:p>
        </w:tc>
        <w:tc>
          <w:tcPr>
            <w:tcW w:w="108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0,3</w:t>
            </w: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palvelut</w:t>
            </w: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0,1</w:t>
            </w:r>
          </w:p>
        </w:tc>
        <w:tc>
          <w:tcPr>
            <w:tcW w:w="108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0,1</w:t>
            </w:r>
          </w:p>
        </w:tc>
        <w:tc>
          <w:tcPr>
            <w:tcW w:w="108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0,3</w:t>
            </w:r>
          </w:p>
        </w:tc>
        <w:tc>
          <w:tcPr>
            <w:tcW w:w="108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3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w:t>
            </w:r>
          </w:p>
        </w:tc>
        <w:tc>
          <w:tcPr>
            <w:tcW w:w="108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0,7</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4,8</w:t>
            </w:r>
          </w:p>
        </w:tc>
        <w:tc>
          <w:tcPr>
            <w:tcW w:w="108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0,8</w:t>
            </w:r>
          </w:p>
        </w:tc>
      </w:tr>
    </w:tbl>
    <w:p/>
    <w:p w:rsidR="008A116B" w:rsidP="008A116B" w14:textId="123B88D3">
      <w:pPr>
        <w:pStyle w:val="Heading12"/>
        <w:rPr>
          <w:lang w:val="fi-FI"/>
        </w:rPr>
      </w:pPr>
      <w:bookmarkStart w:id="1171" w:name="RG_MARKER_5314"/>
      <w:r w:rsidRPr="008A116B">
        <w:rPr>
          <w:lang w:val="fi-FI"/>
        </w:rPr>
        <w:t>7.</w:t>
      </w:r>
      <w:bookmarkEnd w:id="1171"/>
      <w:r>
        <w:rPr>
          <w:lang w:val="fi-FI"/>
        </w:rPr>
        <w:t>4</w:t>
      </w:r>
      <w:r w:rsidRPr="008A116B">
        <w:rPr>
          <w:lang w:val="fi-FI"/>
        </w:rPr>
        <w:t>. TILIN</w:t>
      </w:r>
      <w:r>
        <w:rPr>
          <w:lang w:val="fi-FI"/>
        </w:rPr>
        <w:t>PÄÄTÖSPÄIVÄN JÄLKEISET TAPAHTUMAT</w:t>
      </w:r>
    </w:p>
    <w:p w:rsidR="00830D4F" w:rsidP="00830D4F" w14:paraId="35CE55FE" w14:textId="3B2466A0">
      <w:pPr>
        <w:pStyle w:val="Bodytext2"/>
        <w:rPr>
          <w:lang w:val="fi-FI"/>
        </w:rPr>
      </w:pPr>
      <w:r w:rsidRPr="00830D4F">
        <w:rPr>
          <w:lang w:val="fi-FI"/>
        </w:rPr>
        <w:t xml:space="preserve">Tammikuussa 2021 Wärtsilä ilmoitti myyvänsä 100% omistamansa viihdejärjestelmät-liiketoiminnan, Wärtsilä Funa GmbH:n, osakkeista ranskalaiselle pörssiyhtiölle Videlio SA:lle. </w:t>
      </w:r>
      <w:r>
        <w:rPr>
          <w:lang w:val="fi-FI"/>
        </w:rPr>
        <w:t>V</w:t>
      </w:r>
      <w:r w:rsidRPr="00830D4F">
        <w:rPr>
          <w:lang w:val="fi-FI"/>
        </w:rPr>
        <w:t>iihdejärjestelmät suunnittelee, valmistaa ja integroi viihde-, valaistus-, valai</w:t>
      </w:r>
      <w:r w:rsidRPr="00830D4F">
        <w:rPr>
          <w:lang w:val="fi-FI"/>
        </w:rPr>
        <w:t>stuksen säätö-, kuulutus- ja digitaalisen äänentoiston järjestelmiä risteilyaluksiin ja huvipuistoihin. Liikevaihto vuonna 2020 oli noin 50 milj</w:t>
      </w:r>
      <w:r>
        <w:rPr>
          <w:lang w:val="fi-FI"/>
        </w:rPr>
        <w:t>.</w:t>
      </w:r>
      <w:r w:rsidRPr="00830D4F">
        <w:rPr>
          <w:lang w:val="fi-FI"/>
        </w:rPr>
        <w:t xml:space="preserve"> euroa.</w:t>
      </w:r>
    </w:p>
    <w:p w:rsidR="00830D4F" w:rsidRPr="00830D4F" w:rsidP="00830D4F" w14:paraId="1187BABF" w14:textId="77777777">
      <w:pPr>
        <w:pStyle w:val="Bodytext2"/>
        <w:rPr>
          <w:lang w:val="fi-FI"/>
        </w:rPr>
      </w:pPr>
    </w:p>
    <w:p w:rsidR="008A116B" w:rsidRPr="00830D4F" w:rsidP="008A116B" w14:textId="1221BE80">
      <w:pPr>
        <w:pStyle w:val="Bodytext2"/>
        <w:rPr>
          <w:lang w:val="fi-FI"/>
        </w:rPr>
      </w:pPr>
      <w:r>
        <w:rPr>
          <w:lang w:val="fi-FI"/>
        </w:rPr>
        <w:t>Tapahtuman</w:t>
      </w:r>
      <w:r w:rsidRPr="00830D4F">
        <w:rPr>
          <w:lang w:val="fi-FI"/>
        </w:rPr>
        <w:t xml:space="preserve"> vaikut</w:t>
      </w:r>
      <w:r>
        <w:rPr>
          <w:lang w:val="fi-FI"/>
        </w:rPr>
        <w:t>uksen</w:t>
      </w:r>
      <w:r w:rsidRPr="00830D4F">
        <w:rPr>
          <w:lang w:val="fi-FI"/>
        </w:rPr>
        <w:t xml:space="preserve"> tilikauden 2021 tulokseen ei o</w:t>
      </w:r>
      <w:r>
        <w:rPr>
          <w:lang w:val="fi-FI"/>
        </w:rPr>
        <w:t>do</w:t>
      </w:r>
      <w:r w:rsidRPr="00830D4F">
        <w:rPr>
          <w:lang w:val="fi-FI"/>
        </w:rPr>
        <w:t>teta olevan olennainen</w:t>
      </w:r>
      <w:r>
        <w:rPr>
          <w:lang w:val="fi-FI"/>
        </w:rPr>
        <w:t>.</w:t>
      </w:r>
      <w:r w:rsidRPr="007552D9">
        <w:rPr>
          <w:lang w:val="fi-FI"/>
        </w:rPr>
        <w:br w:type="page"/>
      </w:r>
    </w:p>
    <w:p w:rsidR="004A0DF2" w:rsidRPr="007552D9" w:rsidP="008A116B" w14:paraId="32F966A5" w14:textId="77777777">
      <w:pPr>
        <w:pStyle w:val="Bodytext2"/>
        <w:rPr>
          <w:sz w:val="2"/>
          <w:szCs w:val="2"/>
          <w:lang w:val="fi-FI"/>
        </w:rPr>
      </w:pPr>
      <w:r>
        <w:t xml:space="preserve"> </w:t>
      </w:r>
    </w:p>
    <w:p w:rsidR="002642EE" w:rsidRPr="00BF7C4A" w:rsidP="002642EE" w14:textId="06EDCF66">
      <w:pPr>
        <w:pStyle w:val="Heading10"/>
        <w:rPr>
          <w:lang w:val="fi-FI"/>
        </w:rPr>
      </w:pPr>
      <w:bookmarkStart w:id="1172" w:name="RG_MARKER_4558"/>
      <w:bookmarkStart w:id="1173" w:name="RG_MARKER_3173"/>
      <w:r w:rsidRPr="00BF7C4A">
        <w:rPr>
          <w:lang w:val="fi-FI"/>
        </w:rPr>
        <w:t>EMOYHTIÖN TILINPÄÄTÖS</w:t>
      </w:r>
      <w:bookmarkEnd w:id="1173"/>
      <w:bookmarkEnd w:id="1172"/>
    </w:p>
    <w:p w:rsidR="005A7A09" w:rsidRPr="00BF7C4A" w:rsidP="005A7A09" w14:paraId="6C3A2890" w14:textId="7672B86E">
      <w:pPr>
        <w:pStyle w:val="Heading10"/>
        <w:rPr>
          <w:lang w:val="fi-FI"/>
        </w:rPr>
      </w:pPr>
      <w:r w:rsidRPr="00BF7C4A">
        <w:rPr>
          <w:lang w:val="fi-FI"/>
        </w:rPr>
        <w:t>EMOYHTIÖN</w:t>
      </w:r>
      <w:r w:rsidRPr="00BF7C4A">
        <w:rPr>
          <w:lang w:val="fi-FI"/>
        </w:rPr>
        <w:t xml:space="preserve"> TULOSLASKELMA (FAS)</w:t>
      </w:r>
    </w:p>
    <w:tbl>
      <w:tblPr>
        <w:tblStyle w:val="TableNormal"/>
        <w:tblCaption w:val="parent_IS"/>
        <w:tblDescription w:val="Emoyhtiön tuloslaskelma (FAS)"/>
        <w:tblW w:w="7365" w:type="dxa"/>
        <w:tblLayout w:type="fixed"/>
        <w:tblLook w:val="0600"/>
      </w:tblPr>
      <w:tblGrid>
        <w:gridCol w:w="4185"/>
        <w:gridCol w:w="1365"/>
        <w:gridCol w:w="1365"/>
        <w:gridCol w:w="45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36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3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45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Liiketoiminnan muut tuotot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Henkilöstökulut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Liiketoiminnan muut kulut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-89</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-108</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Liiketulos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-39</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-60</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Rahoitustuotot ja -kulut</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Tuotot pysyvien vastaavien sijoituksista</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301</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 ja muut rahoitustuotot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64</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Kurssierot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 ja muut rahoituskulut</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-91</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305</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 ennen tilinpäätössiirtoja ja veroja</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243</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Konserniavustus</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 ennen veroja</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268</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243</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Tuloverot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Tilikauden tulos</w:t>
            </w:r>
          </w:p>
        </w:tc>
        <w:tc>
          <w:tcPr>
            <w:tcW w:w="136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265</w:t>
            </w:r>
          </w:p>
        </w:tc>
        <w:tc>
          <w:tcPr>
            <w:tcW w:w="136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240</w:t>
            </w:r>
          </w:p>
        </w:tc>
        <w:tc>
          <w:tcPr>
            <w:tcW w:w="4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5A7A09" w:rsidRPr="00BF7C4A" w:rsidP="005A7A09" w14:paraId="2A1A42B5" w14:textId="03ED0E03">
      <w:pPr>
        <w:pStyle w:val="Bodytext2"/>
        <w:rPr>
          <w:sz w:val="2"/>
          <w:szCs w:val="2"/>
        </w:rPr>
      </w:pPr>
      <w:r w:rsidRPr="00BF7C4A">
        <w:rPr>
          <w:sz w:val="2"/>
          <w:szCs w:val="2"/>
        </w:rPr>
        <w:br w:type="column"/>
      </w:r>
    </w:p>
    <w:p w:rsidR="002642EE" w:rsidRPr="003C4448" w:rsidP="002642EE" w14:textId="5AD1FD11">
      <w:pPr>
        <w:pStyle w:val="Heading10"/>
        <w:rPr>
          <w:lang w:val="fi-FI"/>
        </w:rPr>
      </w:pPr>
      <w:bookmarkStart w:id="1174" w:name="RG_MARKER_4559"/>
      <w:r w:rsidRPr="003C4448">
        <w:rPr>
          <w:lang w:val="fi-FI"/>
        </w:rPr>
        <w:t>EMOYHTIÖN TASE</w:t>
      </w:r>
      <w:bookmarkEnd w:id="1174"/>
    </w:p>
    <w:tbl>
      <w:tblPr>
        <w:tblStyle w:val="TableNormal"/>
        <w:tblCaption w:val="parent_BS_1"/>
        <w:tblDescription w:val="Emoyhtiön tase (FAS)"/>
        <w:tblW w:w="7365" w:type="dxa"/>
        <w:tblLayout w:type="fixed"/>
        <w:tblLook w:val="0600"/>
      </w:tblPr>
      <w:tblGrid>
        <w:gridCol w:w="4185"/>
        <w:gridCol w:w="1365"/>
        <w:gridCol w:w="1365"/>
        <w:gridCol w:w="45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36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3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45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VASTAAVAA</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Pysyvät vastaavat</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Aineettomat hyödykkeet</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pitkävaikutteiset menot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Aineettomat oikeudet ja keskeneräiset hankinnat</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Aineelliset hyödykkeet</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Maa- ja vesialueet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Koneet, kalusto ja muut aineelliset hyödykkeet</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Sijoitukset</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Osakkeet saman konsernin yrityksissä</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950</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osakkeet ja osuudet</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951</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Pysyvät vastaavat yhteensä</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969</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974</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saamiset</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Saamiset saman konsernin yrityksiltä</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Lainasaamiset</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91</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101</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7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saamiset</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7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Saamiset saman konsernin yrityksiltä</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1 846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2 193</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Siirtosaamiset</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c>
          <w:tcPr>
            <w:tcW w:w="45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1 890</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2 224</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Rahat ja pankkisaamiset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699</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Vaihtuvat vastaavat yhteensä</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2 680</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2 438</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Vastaavaa yhteensä</w:t>
            </w:r>
          </w:p>
        </w:tc>
        <w:tc>
          <w:tcPr>
            <w:tcW w:w="136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3 649</w:t>
            </w:r>
          </w:p>
        </w:tc>
        <w:tc>
          <w:tcPr>
            <w:tcW w:w="136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3 413</w:t>
            </w:r>
          </w:p>
        </w:tc>
        <w:tc>
          <w:tcPr>
            <w:tcW w:w="4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E804F9" w:rsidRPr="003C4448" w:rsidP="00E804F9" w14:paraId="03AFBCEF" w14:textId="77777777">
      <w:pPr>
        <w:pStyle w:val="Bodytext2"/>
        <w:rPr>
          <w:lang w:val="fi-FI"/>
        </w:rPr>
      </w:pPr>
    </w:p>
    <w:tbl>
      <w:tblPr>
        <w:tblStyle w:val="TableNormal"/>
        <w:tblCaption w:val="parent_BS_2"/>
        <w:tblW w:w="7365" w:type="dxa"/>
        <w:tblLayout w:type="fixed"/>
        <w:tblLook w:val="0600"/>
      </w:tblPr>
      <w:tblGrid>
        <w:gridCol w:w="4185"/>
        <w:gridCol w:w="1365"/>
        <w:gridCol w:w="1365"/>
        <w:gridCol w:w="45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365"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3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c>
          <w:tcPr>
            <w:tcW w:w="45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Liite</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VASTATTAVAA</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Osakepääoma</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Ylikurssirahasto</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voittovarat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709</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754</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tulos</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265</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240</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Oma pääoma yhteensä</w:t>
            </w: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1 371</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1 391</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Tilinpäätössiirtojen kertymä</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Poistoero</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Pakolliset varaukset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Vieras pääoma</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Pitkäaikainen</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Lainat rahoituslaitoksilta</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953</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847</w:t>
            </w: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953</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847</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Lyhytaikainen</w:t>
            </w: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Lainat rahoituslaitoksilta</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Velat saman konsernin yrityksille</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1 129</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1 052</w:t>
            </w:r>
          </w:p>
        </w:tc>
        <w:tc>
          <w:tcPr>
            <w:tcW w:w="4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lyhytaikaiset velat</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singl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Siirtovelat</w:t>
            </w:r>
          </w:p>
        </w:tc>
        <w:tc>
          <w:tcPr>
            <w:tcW w:w="136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w:t>
            </w:r>
          </w:p>
        </w:tc>
        <w:tc>
          <w:tcPr>
            <w:tcW w:w="13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w:t>
            </w:r>
          </w:p>
        </w:tc>
        <w:tc>
          <w:tcPr>
            <w:tcW w:w="45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365"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1 310</w:t>
            </w:r>
          </w:p>
        </w:tc>
        <w:tc>
          <w:tcPr>
            <w:tcW w:w="136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1 155</w:t>
            </w:r>
          </w:p>
        </w:tc>
        <w:tc>
          <w:tcPr>
            <w:tcW w:w="4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Vieras pääoma yhteensä</w:t>
            </w:r>
          </w:p>
        </w:tc>
        <w:tc>
          <w:tcPr>
            <w:tcW w:w="136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2 263</w:t>
            </w:r>
          </w:p>
        </w:tc>
        <w:tc>
          <w:tcPr>
            <w:tcW w:w="13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2 003</w:t>
            </w:r>
          </w:p>
        </w:tc>
        <w:tc>
          <w:tcPr>
            <w:tcW w:w="4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36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4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Vastattavaa yhteensä</w:t>
            </w:r>
          </w:p>
        </w:tc>
        <w:tc>
          <w:tcPr>
            <w:tcW w:w="136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3 649</w:t>
            </w:r>
          </w:p>
        </w:tc>
        <w:tc>
          <w:tcPr>
            <w:tcW w:w="136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3 413</w:t>
            </w:r>
          </w:p>
        </w:tc>
        <w:tc>
          <w:tcPr>
            <w:tcW w:w="4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bl>
    <w:p w:rsidR="00E804F9" w:rsidRPr="003C4448" w:rsidP="00E804F9" w14:paraId="44E666B1" w14:textId="1505D7EF">
      <w:pPr>
        <w:pStyle w:val="Bodytext2"/>
        <w:rPr>
          <w:sz w:val="2"/>
          <w:szCs w:val="2"/>
        </w:rPr>
      </w:pPr>
      <w:r w:rsidRPr="003C4448">
        <w:rPr>
          <w:sz w:val="2"/>
          <w:szCs w:val="2"/>
        </w:rPr>
        <w:br w:type="column"/>
      </w:r>
    </w:p>
    <w:p w:rsidR="002642EE" w:rsidRPr="00CA3ABF" w:rsidP="002642EE" w14:textId="640D8089">
      <w:pPr>
        <w:pStyle w:val="Heading10"/>
        <w:rPr>
          <w:lang w:val="fi-FI"/>
        </w:rPr>
      </w:pPr>
      <w:bookmarkStart w:id="1175" w:name="RG_MARKER_4560"/>
      <w:r w:rsidRPr="00CA3ABF">
        <w:rPr>
          <w:lang w:val="fi-FI"/>
        </w:rPr>
        <w:t>EMOYHTIÖN RA</w:t>
      </w:r>
      <w:bookmarkEnd w:id="1175"/>
      <w:r>
        <w:rPr>
          <w:lang w:val="fi-FI"/>
        </w:rPr>
        <w:t>HAVIRTALASKELMA (FAS)</w:t>
      </w:r>
    </w:p>
    <w:tbl>
      <w:tblPr>
        <w:tblStyle w:val="TableNormal"/>
        <w:tblCaption w:val="parent_CF"/>
        <w:tblDescription w:val="Emoyhtiön rahavirtalaskelma (FAS)"/>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Liiketoiminnan rahavirta:</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Tulos ennen tilinpäätössiirtoja ja veroja</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266</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Oikaisut: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Poistot ja arvonalentumiset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Käyttöomaisuuden myyntivoitot ja -tappiot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Rahoitustuotot ja -kulut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-305</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Liiketoiminnan rahavirta ennen käyttöpääoman muutosta</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Käyttöpääoman muutos:</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Korottomien liikesaamisten lisäys (-) / vähennys (+)</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Korottomien velkojen lisäys (+) / vähennys (-)</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Liiketoiminnan rahavirta ennen rahoituseriä ja veroja</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-47</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 ja rahoituskulut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-60</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Saadut osingot liiketoiminnasta</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301</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 ja rahoitustuotot liiketoiminnasta</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64</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Maksetut verot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301</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Liiketoiminnan rahavirta</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254</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Investointien rahavirta:</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Investoinnit aineellisiin ja aineettomiin hyödykkeisiin</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Luovutustulot aineellisista ja aineettomista hyödykkeistä</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59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Investointien rahavirta</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Rahavirta investointien jälkeen </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257</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203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Rahoituksen rahavirta:</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Lainasaamisten lisäys (-) / vähennys (+)</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355</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Lyhytaikaisten lainojen lisäys (+) / vähennys (-)</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Pitkäaikaisten lainojen nostot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245</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Pitkäaikaisten lainojen takaisinmaksut ja muut muutokset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-51</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Konserniavustukset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Maksetut osingot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-284</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Rahoituksen rahavirta</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329</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-381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Rahavarojen muutos, lisäys (+) / vähennys (-)</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586</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Rahat ja pankkisaamiset tilikauden alussa</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Rahat ja pankkisaamiset tilikauden lopussa</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699</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r>
    </w:tbl>
    <w:p w:rsidR="004A0DF2" w:rsidRPr="00A10E42" w:rsidP="00CA3ABF" w14:textId="2C7F0311">
      <w:pPr>
        <w:pStyle w:val="Bodytext2"/>
        <w:rPr>
          <w:sz w:val="2"/>
          <w:szCs w:val="2"/>
          <w:lang w:val="fi-FI"/>
        </w:rPr>
      </w:pPr>
      <w:r w:rsidRPr="00A10E42">
        <w:rPr>
          <w:sz w:val="2"/>
          <w:szCs w:val="2"/>
          <w:lang w:val="fi-FI"/>
        </w:rPr>
        <w:br w:type="column"/>
      </w:r>
    </w:p>
    <w:p w:rsidR="005A57E4" w:rsidP="005A57E4" w14:paraId="16719F0B" w14:textId="7879FB07">
      <w:pPr>
        <w:pStyle w:val="Heading10"/>
        <w:rPr>
          <w:lang w:val="fi-FI"/>
        </w:rPr>
      </w:pPr>
      <w:bookmarkStart w:id="1176" w:name="RG_MARKER_4561"/>
      <w:r w:rsidRPr="005A57E4">
        <w:rPr>
          <w:lang w:val="fi-FI"/>
        </w:rPr>
        <w:t>E</w:t>
      </w:r>
      <w:bookmarkEnd w:id="1176"/>
      <w:r>
        <w:rPr>
          <w:lang w:val="fi-FI"/>
        </w:rPr>
        <w:t>MOYHTIÖN TILINPÄÄTÖKSEN LAADINTAPERIAATTEET</w:t>
      </w:r>
    </w:p>
    <w:p w:rsidR="005A57E4" w:rsidRPr="005A57E4" w:rsidP="005A57E4" w14:paraId="7CD529C7" w14:textId="77777777">
      <w:pPr>
        <w:pStyle w:val="Bodytext2"/>
        <w:rPr>
          <w:lang w:val="fi-FI"/>
        </w:rPr>
      </w:pPr>
      <w:r w:rsidRPr="005A57E4">
        <w:rPr>
          <w:lang w:val="fi-FI"/>
        </w:rPr>
        <w:t>Wärtsilä Oyj Abp:n tilinpäätös on laadittu Suomen kirjanpitosäännösten mukaisesti (FAS).</w:t>
      </w:r>
    </w:p>
    <w:p w:rsidR="005A57E4" w:rsidRPr="005A57E4" w:rsidP="005A57E4" w14:paraId="18B0BE2B" w14:textId="77777777">
      <w:pPr>
        <w:pStyle w:val="Bodytext2"/>
        <w:rPr>
          <w:lang w:val="fi-FI"/>
        </w:rPr>
      </w:pPr>
    </w:p>
    <w:p w:rsidR="005A57E4" w:rsidP="005A57E4" w14:paraId="4F7C294C" w14:textId="13355E04">
      <w:pPr>
        <w:pStyle w:val="Bodytext2"/>
        <w:rPr>
          <w:lang w:val="fi-FI"/>
        </w:rPr>
      </w:pPr>
      <w:r w:rsidRPr="005A57E4">
        <w:rPr>
          <w:lang w:val="fi-FI"/>
        </w:rPr>
        <w:t>Tilinpäätöstä laatiessaan yhtiön johto joutuu voimassa olevien määräysten ja hyvän kirjanpitotavan mukaisesti tekemään arvioita ja olettamuksia, jotka vaikuttavat tilinpäätöserien arvostukseen ja jaksotukseen. Toteutuvat luvut voivat poiketa tehdyistä arvi</w:t>
      </w:r>
      <w:r w:rsidRPr="005A57E4">
        <w:rPr>
          <w:lang w:val="fi-FI"/>
        </w:rPr>
        <w:t>oista.</w:t>
      </w:r>
    </w:p>
    <w:p w:rsidR="005A57E4" w:rsidRPr="005A57E4" w:rsidP="005A57E4" w14:paraId="01647C4D" w14:textId="77777777">
      <w:pPr>
        <w:pStyle w:val="Bodytext2"/>
        <w:rPr>
          <w:lang w:val="fi-FI"/>
        </w:rPr>
      </w:pPr>
    </w:p>
    <w:p w:rsidR="005A57E4" w:rsidRPr="005A57E4" w:rsidP="005A57E4" w14:paraId="694932DB" w14:textId="77777777">
      <w:pPr>
        <w:pStyle w:val="Heading12"/>
        <w:rPr>
          <w:lang w:val="fi-FI"/>
        </w:rPr>
      </w:pPr>
      <w:r w:rsidRPr="005A57E4">
        <w:rPr>
          <w:lang w:val="fi-FI"/>
        </w:rPr>
        <w:t>Ulkomaanrahan määräiset tapahtumat ja johdannaissopimukset</w:t>
      </w:r>
    </w:p>
    <w:p w:rsidR="005A57E4" w:rsidRPr="005A57E4" w:rsidP="005A57E4" w14:paraId="47B91639" w14:textId="77777777">
      <w:pPr>
        <w:pStyle w:val="Bodytext2"/>
        <w:rPr>
          <w:lang w:val="fi-FI"/>
        </w:rPr>
      </w:pPr>
      <w:r w:rsidRPr="005A57E4">
        <w:rPr>
          <w:lang w:val="fi-FI"/>
        </w:rPr>
        <w:t>Ulkomaanrahan määräiset liiketapahtumat kirjataan tapahtumapäivän kurssiin. Tilinpäätöshetkellä taseessa olevat saatavat ja velat on arvostettu tilinpäätöskursseihin. Varsinaiseen liiketoim</w:t>
      </w:r>
      <w:r w:rsidRPr="005A57E4">
        <w:rPr>
          <w:lang w:val="fi-FI"/>
        </w:rPr>
        <w:t>intaan liittyvät kurssivoitot ja -tappiot käsitellään liikevaihdon ja liiketoiminnan kulujen oikaisuerinä. Rahoituksen kurssivoitot ja -tappiot kirjataan rahoituksen tuottoihin ja kuluihin.</w:t>
      </w:r>
    </w:p>
    <w:p w:rsidR="005A57E4" w:rsidRPr="005A57E4" w:rsidP="005A57E4" w14:paraId="22965C41" w14:textId="77777777">
      <w:pPr>
        <w:pStyle w:val="Bodytext2"/>
        <w:rPr>
          <w:lang w:val="fi-FI"/>
        </w:rPr>
      </w:pPr>
    </w:p>
    <w:p w:rsidR="005A57E4" w:rsidRPr="005A57E4" w:rsidP="005A57E4" w14:paraId="7D5DF164" w14:textId="77777777">
      <w:pPr>
        <w:pStyle w:val="Bodytext2"/>
        <w:rPr>
          <w:lang w:val="fi-FI"/>
        </w:rPr>
      </w:pPr>
      <w:r w:rsidRPr="005A57E4">
        <w:rPr>
          <w:lang w:val="fi-FI"/>
        </w:rPr>
        <w:t>Johdannaissopimukset arvostetaan käypiin arvoihin. Avoinna olevat</w:t>
      </w:r>
      <w:r w:rsidRPr="005A57E4">
        <w:rPr>
          <w:lang w:val="fi-FI"/>
        </w:rPr>
        <w:t xml:space="preserve"> valuuttamääräisten johdannaiset on arvostettu päivän arvoon korkotekijät huomioon ottaen. Koronvaihtosopimusten käypä arvo lasketaan diskonttaamalla niihin liittyvät tulevat rahavirrat tarkasteluhetkeen. Käypien arvojen muutokset johdannaissopimuksista ki</w:t>
      </w:r>
      <w:r w:rsidRPr="005A57E4">
        <w:rPr>
          <w:lang w:val="fi-FI"/>
        </w:rPr>
        <w:t>rjataan välittömästi tulosvaikutteisesti rahoitustuottoihin tai –kuluihin.</w:t>
      </w:r>
    </w:p>
    <w:p w:rsidR="005A57E4" w:rsidP="005A57E4" w14:paraId="10964A51" w14:textId="77777777">
      <w:pPr>
        <w:pStyle w:val="Bodytext2"/>
        <w:rPr>
          <w:lang w:val="fi-FI"/>
        </w:rPr>
      </w:pPr>
    </w:p>
    <w:p w:rsidR="005A57E4" w:rsidRPr="005A57E4" w:rsidP="005A57E4" w14:paraId="180289FC" w14:textId="555A9F18">
      <w:pPr>
        <w:pStyle w:val="Heading12"/>
        <w:rPr>
          <w:lang w:val="fi-FI"/>
        </w:rPr>
      </w:pPr>
      <w:r w:rsidRPr="005A57E4">
        <w:rPr>
          <w:lang w:val="fi-FI"/>
        </w:rPr>
        <w:t>Tutkimus- ja kehitysmenot</w:t>
      </w:r>
    </w:p>
    <w:p w:rsidR="005A57E4" w:rsidRPr="005A57E4" w:rsidP="005A57E4" w14:paraId="697D4BDE" w14:textId="77777777">
      <w:pPr>
        <w:pStyle w:val="Bodytext2"/>
        <w:rPr>
          <w:lang w:val="fi-FI"/>
        </w:rPr>
      </w:pPr>
      <w:r w:rsidRPr="005A57E4">
        <w:rPr>
          <w:lang w:val="fi-FI"/>
        </w:rPr>
        <w:t>Tutkimus- ja kehitysmenot kirjataan sen tilikauden kuluiksi, jolloin ne syntyvät.</w:t>
      </w:r>
    </w:p>
    <w:p w:rsidR="005A57E4" w:rsidP="005A57E4" w14:paraId="5430C0DD" w14:textId="77777777">
      <w:pPr>
        <w:pStyle w:val="Bodytext2"/>
        <w:rPr>
          <w:lang w:val="fi-FI"/>
        </w:rPr>
      </w:pPr>
    </w:p>
    <w:p w:rsidR="005A57E4" w:rsidRPr="005A57E4" w:rsidP="005A57E4" w14:paraId="06D4765E" w14:textId="70ADBCCC">
      <w:pPr>
        <w:pStyle w:val="Heading12"/>
        <w:rPr>
          <w:lang w:val="fi-FI"/>
        </w:rPr>
      </w:pPr>
      <w:r w:rsidRPr="005A57E4">
        <w:rPr>
          <w:lang w:val="fi-FI"/>
        </w:rPr>
        <w:t>Saamiset</w:t>
      </w:r>
    </w:p>
    <w:p w:rsidR="005A57E4" w:rsidRPr="005A57E4" w:rsidP="005A57E4" w14:paraId="302B90B8" w14:textId="77777777">
      <w:pPr>
        <w:pStyle w:val="Bodytext2"/>
        <w:rPr>
          <w:lang w:val="fi-FI"/>
        </w:rPr>
      </w:pPr>
      <w:r w:rsidRPr="005A57E4">
        <w:rPr>
          <w:lang w:val="fi-FI"/>
        </w:rPr>
        <w:t>Saamiset arvostetaan hankintamenoon tai sitä alempaan todennäk</w:t>
      </w:r>
      <w:r w:rsidRPr="005A57E4">
        <w:rPr>
          <w:lang w:val="fi-FI"/>
        </w:rPr>
        <w:t>öiseen arvoon.</w:t>
      </w:r>
    </w:p>
    <w:p w:rsidR="005A57E4" w:rsidP="005A57E4" w14:paraId="7D59A750" w14:textId="77777777">
      <w:pPr>
        <w:pStyle w:val="Bodytext2"/>
        <w:rPr>
          <w:lang w:val="fi-FI"/>
        </w:rPr>
      </w:pPr>
    </w:p>
    <w:p w:rsidR="005A57E4" w:rsidRPr="005A57E4" w:rsidP="005A57E4" w14:paraId="125BBA5D" w14:textId="610E5181">
      <w:pPr>
        <w:pStyle w:val="Heading12"/>
        <w:rPr>
          <w:lang w:val="fi-FI"/>
        </w:rPr>
      </w:pPr>
      <w:r w:rsidRPr="005A57E4">
        <w:rPr>
          <w:lang w:val="fi-FI"/>
        </w:rPr>
        <w:t>Pysyvät vastaavat ja poistot</w:t>
      </w:r>
    </w:p>
    <w:p w:rsidR="005A57E4" w:rsidRPr="005A57E4" w:rsidP="005A57E4" w14:paraId="513312AA" w14:textId="77777777">
      <w:pPr>
        <w:pStyle w:val="Bodytext2"/>
        <w:rPr>
          <w:lang w:val="fi-FI"/>
        </w:rPr>
      </w:pPr>
      <w:r w:rsidRPr="005A57E4">
        <w:rPr>
          <w:lang w:val="fi-FI"/>
        </w:rPr>
        <w:t>Pysyvät vastaavat merkitään taseeseen välittömään hankintamenoon vähennettynä tehdyillä poistoilla ja arvonalennuksilla. Eräiden maa-alueiden tasearvoihin sisältyy arvonkorotuksia.</w:t>
      </w:r>
    </w:p>
    <w:p w:rsidR="005A57E4" w:rsidRPr="005A57E4" w:rsidP="005A57E4" w14:paraId="2F5FECBC" w14:textId="77777777">
      <w:pPr>
        <w:pStyle w:val="Bodytext2"/>
        <w:rPr>
          <w:lang w:val="fi-FI"/>
        </w:rPr>
      </w:pPr>
    </w:p>
    <w:p w:rsidR="005A57E4" w:rsidRPr="005A57E4" w:rsidP="005A57E4" w14:paraId="0E09AE22" w14:textId="77777777">
      <w:pPr>
        <w:pStyle w:val="Bodytext2"/>
        <w:rPr>
          <w:lang w:val="fi-FI"/>
        </w:rPr>
      </w:pPr>
      <w:r w:rsidRPr="005A57E4">
        <w:rPr>
          <w:lang w:val="fi-FI"/>
        </w:rPr>
        <w:t>Poistojen perusteena olevat p</w:t>
      </w:r>
      <w:r w:rsidRPr="005A57E4">
        <w:rPr>
          <w:lang w:val="fi-FI"/>
        </w:rPr>
        <w:t>ysyvien vastaavien pitoajat ovat:</w:t>
      </w:r>
    </w:p>
    <w:p w:rsidR="005A57E4" w:rsidRPr="005A57E4" w:rsidP="005A57E4" w14:paraId="137E608D" w14:textId="0DB00F25">
      <w:pPr>
        <w:pStyle w:val="Bodytext2"/>
        <w:rPr>
          <w:lang w:val="fi-FI"/>
        </w:rPr>
      </w:pPr>
      <w:r w:rsidRPr="005A57E4">
        <w:rPr>
          <w:lang w:val="fi-FI"/>
        </w:rPr>
        <w:t>Muut pitkävaikutteiset menot</w:t>
      </w:r>
      <w:r>
        <w:rPr>
          <w:lang w:val="fi-FI"/>
        </w:rPr>
        <w:tab/>
      </w:r>
      <w:r w:rsidRPr="005A57E4">
        <w:rPr>
          <w:lang w:val="fi-FI"/>
        </w:rPr>
        <w:t>3-10 vuotta</w:t>
      </w:r>
    </w:p>
    <w:p w:rsidR="005A57E4" w:rsidRPr="005A57E4" w:rsidP="005A57E4" w14:paraId="724AB824" w14:textId="2F28D678">
      <w:pPr>
        <w:pStyle w:val="Bodytext2"/>
        <w:rPr>
          <w:lang w:val="fi-FI"/>
        </w:rPr>
      </w:pPr>
      <w:r w:rsidRPr="005A57E4">
        <w:rPr>
          <w:lang w:val="fi-FI"/>
        </w:rPr>
        <w:t>Rakennukset</w:t>
      </w:r>
      <w:r>
        <w:rPr>
          <w:lang w:val="fi-FI"/>
        </w:rPr>
        <w:tab/>
      </w:r>
      <w:r>
        <w:rPr>
          <w:lang w:val="fi-FI"/>
        </w:rPr>
        <w:tab/>
      </w:r>
      <w:r w:rsidRPr="005A57E4">
        <w:rPr>
          <w:lang w:val="fi-FI"/>
        </w:rPr>
        <w:t>20-40 vuotta</w:t>
      </w:r>
    </w:p>
    <w:p w:rsidR="005A57E4" w:rsidRPr="005A57E4" w:rsidP="005A57E4" w14:paraId="378742C0" w14:textId="6E6D2E0F">
      <w:pPr>
        <w:pStyle w:val="Bodytext2"/>
        <w:rPr>
          <w:lang w:val="fi-FI"/>
        </w:rPr>
      </w:pPr>
      <w:r w:rsidRPr="005A57E4">
        <w:rPr>
          <w:lang w:val="fi-FI"/>
        </w:rPr>
        <w:t>Koneet ja kalusto</w:t>
      </w:r>
      <w:r>
        <w:rPr>
          <w:lang w:val="fi-FI"/>
        </w:rPr>
        <w:tab/>
      </w:r>
      <w:r>
        <w:rPr>
          <w:lang w:val="fi-FI"/>
        </w:rPr>
        <w:tab/>
      </w:r>
      <w:r w:rsidRPr="005A57E4">
        <w:rPr>
          <w:lang w:val="fi-FI"/>
        </w:rPr>
        <w:t>5-20 vuotta</w:t>
      </w:r>
    </w:p>
    <w:p w:rsidR="005A57E4" w:rsidP="005A57E4" w14:paraId="13937A57" w14:textId="77777777">
      <w:pPr>
        <w:pStyle w:val="Heading12"/>
        <w:rPr>
          <w:lang w:val="fi-FI"/>
        </w:rPr>
      </w:pPr>
    </w:p>
    <w:p w:rsidR="005A57E4" w:rsidP="005A57E4" w14:paraId="50D61ABA" w14:textId="77777777">
      <w:pPr>
        <w:pStyle w:val="Heading12"/>
        <w:rPr>
          <w:lang w:val="fi-FI"/>
        </w:rPr>
      </w:pPr>
    </w:p>
    <w:p w:rsidR="005A57E4" w:rsidRPr="005A57E4" w:rsidP="005A57E4" w14:paraId="5B189B63" w14:textId="6D8CE264">
      <w:pPr>
        <w:pStyle w:val="Heading12"/>
        <w:rPr>
          <w:lang w:val="fi-FI"/>
        </w:rPr>
      </w:pPr>
      <w:r w:rsidRPr="005A57E4">
        <w:rPr>
          <w:lang w:val="fi-FI"/>
        </w:rPr>
        <w:t>Leasing</w:t>
      </w:r>
    </w:p>
    <w:p w:rsidR="005A57E4" w:rsidRPr="005A57E4" w:rsidP="005A57E4" w14:paraId="66CC8CCE" w14:textId="77777777">
      <w:pPr>
        <w:pStyle w:val="Bodytext2"/>
        <w:rPr>
          <w:lang w:val="fi-FI"/>
        </w:rPr>
      </w:pPr>
      <w:r w:rsidRPr="005A57E4">
        <w:rPr>
          <w:lang w:val="fi-FI"/>
        </w:rPr>
        <w:t>Leasingmaksut on käsitelty vuokrakuluina.</w:t>
      </w:r>
    </w:p>
    <w:p w:rsidR="005A57E4" w:rsidP="005A57E4" w14:paraId="5013B65A" w14:textId="77777777">
      <w:pPr>
        <w:pStyle w:val="Bodytext2"/>
        <w:rPr>
          <w:lang w:val="fi-FI"/>
        </w:rPr>
      </w:pPr>
    </w:p>
    <w:p w:rsidR="005A57E4" w:rsidRPr="005A57E4" w:rsidP="005A57E4" w14:paraId="5042B86A" w14:textId="38DB4C87">
      <w:pPr>
        <w:pStyle w:val="Heading12"/>
        <w:rPr>
          <w:lang w:val="fi-FI"/>
        </w:rPr>
      </w:pPr>
      <w:r w:rsidRPr="005A57E4">
        <w:rPr>
          <w:lang w:val="fi-FI"/>
        </w:rPr>
        <w:t>Pakolliset varaukset</w:t>
      </w:r>
    </w:p>
    <w:p w:rsidR="005A57E4" w:rsidRPr="005A57E4" w:rsidP="005A57E4" w14:paraId="49254F8D" w14:textId="77777777">
      <w:pPr>
        <w:pStyle w:val="Bodytext2"/>
        <w:rPr>
          <w:lang w:val="fi-FI"/>
        </w:rPr>
      </w:pPr>
      <w:r w:rsidRPr="005A57E4">
        <w:rPr>
          <w:lang w:val="fi-FI"/>
        </w:rPr>
        <w:t>Pakollisina varauksina on taseessa esitetty eriä, jotka ovat joko sopimusperusteisia tai muuten sitovia velvoitteita, mutta jotka eivät vielä ole realisoituneet. Pakollisten varausten muutokset sisältyvät tuloslaskelmaan.</w:t>
      </w:r>
    </w:p>
    <w:p w:rsidR="005A57E4" w:rsidP="005A57E4" w14:paraId="1C16FC57" w14:textId="77777777">
      <w:pPr>
        <w:pStyle w:val="Bodytext2"/>
        <w:rPr>
          <w:lang w:val="fi-FI"/>
        </w:rPr>
      </w:pPr>
    </w:p>
    <w:p w:rsidR="005A57E4" w:rsidRPr="005A57E4" w:rsidP="005A57E4" w14:paraId="3769BBB3" w14:textId="077E873E">
      <w:pPr>
        <w:pStyle w:val="Heading12"/>
        <w:rPr>
          <w:lang w:val="fi-FI"/>
        </w:rPr>
      </w:pPr>
      <w:r w:rsidRPr="005A57E4">
        <w:rPr>
          <w:lang w:val="fi-FI"/>
        </w:rPr>
        <w:t>Tuloverot</w:t>
      </w:r>
    </w:p>
    <w:p w:rsidR="005A57E4" w:rsidRPr="005A57E4" w:rsidP="005A57E4" w14:paraId="714F4F89" w14:textId="77777777">
      <w:pPr>
        <w:pStyle w:val="Bodytext2"/>
        <w:rPr>
          <w:lang w:val="fi-FI"/>
        </w:rPr>
      </w:pPr>
      <w:r w:rsidRPr="005A57E4">
        <w:rPr>
          <w:lang w:val="fi-FI"/>
        </w:rPr>
        <w:t>Tuloslaskelmaan on tulo</w:t>
      </w:r>
      <w:r w:rsidRPr="005A57E4">
        <w:rPr>
          <w:lang w:val="fi-FI"/>
        </w:rPr>
        <w:t>veroina kirjattu tilikauden tuloksesta Suomen verosäännösten perusteella lasketut verot sekä aikaisempien tilikausien verojen oikaisut. Satunnaisiin eriin kohdistuvat verot esitetään liitetiedoissa.</w:t>
      </w:r>
    </w:p>
    <w:p w:rsidR="005A57E4" w:rsidP="005A57E4" w14:paraId="264D889C" w14:textId="77777777">
      <w:pPr>
        <w:pStyle w:val="Bodytext2"/>
        <w:rPr>
          <w:lang w:val="fi-FI"/>
        </w:rPr>
      </w:pPr>
    </w:p>
    <w:p w:rsidR="005A57E4" w:rsidRPr="005A57E4" w:rsidP="005A57E4" w14:paraId="0AAB26E5" w14:textId="0F25557E">
      <w:pPr>
        <w:pStyle w:val="Heading12"/>
        <w:rPr>
          <w:lang w:val="fi-FI"/>
        </w:rPr>
      </w:pPr>
      <w:r w:rsidRPr="005A57E4">
        <w:rPr>
          <w:lang w:val="fi-FI"/>
        </w:rPr>
        <w:t>Osingot</w:t>
      </w:r>
    </w:p>
    <w:p w:rsidR="005A57E4" w:rsidRPr="000B312C" w:rsidP="005A57E4" w14:paraId="7AA04076" w14:textId="40CC29E9">
      <w:pPr>
        <w:pStyle w:val="Bodytext2"/>
        <w:rPr>
          <w:sz w:val="2"/>
          <w:szCs w:val="2"/>
          <w:lang w:val="fi-FI"/>
        </w:rPr>
      </w:pPr>
      <w:r w:rsidRPr="005A57E4">
        <w:rPr>
          <w:lang w:val="fi-FI"/>
        </w:rPr>
        <w:t>Hallituksen yhtiökokoukselle ehdottamasta osingo</w:t>
      </w:r>
      <w:r w:rsidRPr="005A57E4">
        <w:rPr>
          <w:lang w:val="fi-FI"/>
        </w:rPr>
        <w:t>sta ei tilinpäätöksessä ole tehty kirjausta, vaan osingot otetaan huomioon vasta yhtiökokouksen päätöksen perusteella.</w:t>
      </w:r>
      <w:r w:rsidRPr="000B312C">
        <w:rPr>
          <w:sz w:val="2"/>
          <w:szCs w:val="2"/>
          <w:lang w:val="fi-FI"/>
        </w:rPr>
        <w:br w:type="column"/>
      </w:r>
    </w:p>
    <w:p w:rsidR="004A0DF2" w:rsidP="00CB03B3" w14:textId="650214C1">
      <w:pPr>
        <w:pStyle w:val="Heading11"/>
        <w:rPr>
          <w:lang w:val="fi-FI"/>
        </w:rPr>
      </w:pPr>
      <w:bookmarkStart w:id="1177" w:name="RG_MARKER_4562"/>
      <w:bookmarkStart w:id="1178" w:name="RG_MARKER_4054"/>
      <w:r>
        <w:rPr>
          <w:lang w:val="fi-FI"/>
        </w:rPr>
        <w:t>EMOYHTIÖN TILINPÄÄTÖKSEN LIITETIEDOT</w:t>
      </w:r>
      <w:bookmarkEnd w:id="1178"/>
      <w:bookmarkEnd w:id="1177"/>
    </w:p>
    <w:p w:rsidR="00CB03B3" w:rsidRPr="00B10026" w:rsidP="00CB03B3" w14:paraId="1BE31618" w14:textId="455B9A12">
      <w:pPr>
        <w:pStyle w:val="Heading11"/>
        <w:rPr>
          <w:lang w:val="fi-FI"/>
        </w:rPr>
      </w:pPr>
      <w:r w:rsidRPr="00B10026">
        <w:rPr>
          <w:lang w:val="fi-FI"/>
        </w:rPr>
        <w:t>1. LIIKETOIMINNAN MUUT TUOTOT</w:t>
      </w:r>
    </w:p>
    <w:tbl>
      <w:tblPr>
        <w:tblStyle w:val="TableNormal"/>
        <w:tblCaption w:val="parent_1"/>
        <w:tblDescription w:val="1. Liiketoiminnan muut tuotot"/>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Vuokratuotot</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Palvelut konserniyhtiöille</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88</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Pysyvien vastaavien myyntivoitot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159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93</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w:t>
            </w:r>
          </w:p>
        </w:tc>
      </w:tr>
    </w:tbl>
    <w:p/>
    <w:p w:rsidR="009237E1" w:rsidRPr="00545125" w:rsidP="009237E1" w14:paraId="1B089ECF" w14:textId="77777777">
      <w:pPr>
        <w:pStyle w:val="Heading11"/>
        <w:rPr>
          <w:lang w:val="fi-FI"/>
        </w:rPr>
      </w:pPr>
      <w:bookmarkStart w:id="1179" w:name="RG_MARKER_4563"/>
      <w:r w:rsidRPr="00545125">
        <w:rPr>
          <w:lang w:val="fi-FI"/>
        </w:rPr>
        <w:t>2. HENKILÖSTÖKULUT</w:t>
      </w:r>
      <w:bookmarkEnd w:id="1179"/>
    </w:p>
    <w:tbl>
      <w:tblPr>
        <w:tblStyle w:val="TableNormal"/>
        <w:tblCaption w:val="parent_2"/>
        <w:tblDescription w:val="2. Henkilöstökulut"/>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Palkat ja palkkiot</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-32</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Eläkekulut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pakolliset henkilösivukulut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-38</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-37</w:t>
            </w:r>
          </w:p>
        </w:tc>
      </w:tr>
    </w:tbl>
    <w:p w:rsidR="009237E1" w:rsidRPr="00545125" w:rsidP="009237E1" w14:paraId="795F322F" w14:textId="54152DC8">
      <w:pPr>
        <w:pStyle w:val="Bodytext2"/>
        <w:rPr>
          <w:lang w:val="fi-FI"/>
        </w:rPr>
      </w:pPr>
    </w:p>
    <w:p w:rsidR="009237E1" w:rsidRPr="009237E1" w:rsidP="009237E1" w14:paraId="41C2AA09" w14:textId="3F5BD39E">
      <w:pPr>
        <w:pStyle w:val="Heading12"/>
        <w:rPr>
          <w:lang w:val="fi-FI"/>
        </w:rPr>
      </w:pPr>
      <w:r w:rsidRPr="009237E1">
        <w:rPr>
          <w:lang w:val="fi-FI"/>
        </w:rPr>
        <w:t>Maksetut palkat ja palkkiot</w:t>
      </w:r>
    </w:p>
    <w:p w:rsidR="009237E1" w:rsidP="009237E1" w14:paraId="4B57FAF6" w14:textId="6E013FF1">
      <w:pPr>
        <w:pStyle w:val="Bodytext2"/>
        <w:rPr>
          <w:lang w:val="fi-FI"/>
        </w:rPr>
      </w:pPr>
      <w:r>
        <w:rPr>
          <w:lang w:val="fi-FI"/>
        </w:rPr>
        <w:t>Maksetut palkat ja palkkiot t</w:t>
      </w:r>
      <w:r w:rsidRPr="009237E1">
        <w:rPr>
          <w:lang w:val="fi-FI"/>
        </w:rPr>
        <w:t>oimitusjohtaja</w:t>
      </w:r>
      <w:r>
        <w:rPr>
          <w:lang w:val="fi-FI"/>
        </w:rPr>
        <w:t xml:space="preserve">lle </w:t>
      </w:r>
      <w:r w:rsidRPr="009237E1">
        <w:rPr>
          <w:lang w:val="fi-FI"/>
        </w:rPr>
        <w:t>ja hallituksen jäsen</w:t>
      </w:r>
      <w:r>
        <w:rPr>
          <w:lang w:val="fi-FI"/>
        </w:rPr>
        <w:t>ille oli 2 milj. euroa (2)</w:t>
      </w:r>
      <w:r w:rsidRPr="009237E1">
        <w:rPr>
          <w:lang w:val="fi-FI"/>
        </w:rPr>
        <w:t xml:space="preserve">. </w:t>
      </w:r>
    </w:p>
    <w:p w:rsidR="009237E1" w:rsidP="009237E1" w14:paraId="603AA5BD" w14:textId="77777777">
      <w:pPr>
        <w:pStyle w:val="Bodytext2"/>
        <w:rPr>
          <w:lang w:val="fi-FI"/>
        </w:rPr>
      </w:pPr>
    </w:p>
    <w:p w:rsidR="009237E1" w:rsidRPr="009237E1" w:rsidP="009237E1" w14:paraId="3D249118" w14:textId="6ABF6379">
      <w:pPr>
        <w:pStyle w:val="Bodytext2"/>
        <w:rPr>
          <w:lang w:val="fi-FI"/>
        </w:rPr>
      </w:pPr>
      <w:r w:rsidRPr="009237E1">
        <w:rPr>
          <w:lang w:val="fi-FI"/>
        </w:rPr>
        <w:t>Emoyhtiön toimitusjohtajan oikeus siirtyä eläkkeelle on sovittu alkavaksi 63 vuoden iässä. Johtokunnan jäsenillä on oikeus jäädä eläkkeelle paikallisen eläkelainsäädännön mukaisesti. Yhdellä johtokunnan jäsenellä on oikeus jäädä eläkkeelle aiemmin, 60-vuot</w:t>
      </w:r>
      <w:r w:rsidRPr="009237E1">
        <w:rPr>
          <w:lang w:val="fi-FI"/>
        </w:rPr>
        <w:t>iaana.</w:t>
      </w:r>
    </w:p>
    <w:p w:rsidR="009237E1" w:rsidP="009237E1" w14:paraId="21DD0A57" w14:textId="77777777">
      <w:pPr>
        <w:pStyle w:val="Bodytext2"/>
        <w:rPr>
          <w:lang w:val="fi-FI"/>
        </w:rPr>
      </w:pPr>
    </w:p>
    <w:p w:rsidR="009237E1" w:rsidRPr="009237E1" w:rsidP="009237E1" w14:paraId="3EDF1691" w14:textId="0A3156D6">
      <w:pPr>
        <w:pStyle w:val="Bodytext2"/>
        <w:rPr>
          <w:lang w:val="fi-FI"/>
        </w:rPr>
      </w:pPr>
      <w:r w:rsidRPr="009237E1">
        <w:rPr>
          <w:lang w:val="fi-FI"/>
        </w:rPr>
        <w:t>Yhtiön hallitus päättää toimitusjohtajan sekä hänen suorien alaistensa palkoista ja palkkioista.</w:t>
      </w:r>
    </w:p>
    <w:p w:rsidR="009237E1" w:rsidP="009237E1" w14:paraId="48AE168F" w14:textId="77777777">
      <w:pPr>
        <w:pStyle w:val="Bodytext2"/>
        <w:rPr>
          <w:lang w:val="fi-FI"/>
        </w:rPr>
      </w:pPr>
    </w:p>
    <w:p w:rsidR="009237E1" w:rsidRPr="009237E1" w:rsidP="009237E1" w14:paraId="0F719225" w14:textId="11237645">
      <w:pPr>
        <w:pStyle w:val="Bodytext2"/>
        <w:rPr>
          <w:lang w:val="fi-FI"/>
        </w:rPr>
      </w:pPr>
      <w:r w:rsidRPr="009237E1">
        <w:rPr>
          <w:lang w:val="fi-FI"/>
        </w:rPr>
        <w:t>Lisätiet</w:t>
      </w:r>
      <w:r>
        <w:rPr>
          <w:lang w:val="fi-FI"/>
        </w:rPr>
        <w:t>oja</w:t>
      </w:r>
      <w:r w:rsidRPr="009237E1">
        <w:rPr>
          <w:lang w:val="fi-FI"/>
        </w:rPr>
        <w:t xml:space="preserve"> johdon palkitsemista löytyy konsernin</w:t>
      </w:r>
      <w:r>
        <w:rPr>
          <w:lang w:val="fi-FI"/>
        </w:rPr>
        <w:t xml:space="preserve"> </w:t>
      </w:r>
      <w:r w:rsidRPr="009237E1">
        <w:rPr>
          <w:lang w:val="fi-FI"/>
        </w:rPr>
        <w:t>liitetiedos</w:t>
      </w:r>
      <w:r>
        <w:rPr>
          <w:lang w:val="fi-FI"/>
        </w:rPr>
        <w:t>t</w:t>
      </w:r>
      <w:r w:rsidRPr="009237E1">
        <w:rPr>
          <w:lang w:val="fi-FI"/>
        </w:rPr>
        <w:t xml:space="preserve">a </w:t>
      </w:r>
      <w:r>
        <w:rPr>
          <w:lang w:val="fi-FI"/>
        </w:rPr>
        <w:t>7.2</w:t>
      </w:r>
      <w:r w:rsidRPr="009237E1">
        <w:rPr>
          <w:lang w:val="fi-FI"/>
        </w:rPr>
        <w:t>.</w:t>
      </w:r>
      <w:r>
        <w:rPr>
          <w:lang w:val="fi-FI"/>
        </w:rPr>
        <w:t xml:space="preserve"> Lähipiiritapahtumat.</w:t>
      </w:r>
    </w:p>
    <w:p w:rsidR="009237E1" w:rsidRPr="009237E1" w:rsidP="009237E1" w14:paraId="34061E9C" w14:textId="77777777">
      <w:pPr>
        <w:pStyle w:val="Bodytext2"/>
        <w:rPr>
          <w:lang w:val="fi-FI"/>
        </w:rPr>
      </w:pPr>
    </w:p>
    <w:p w:rsidR="009237E1" w:rsidRPr="00545125" w:rsidP="009237E1" w14:paraId="4B8A4379" w14:textId="4DD45F18">
      <w:pPr>
        <w:pStyle w:val="Bodytext2"/>
        <w:rPr>
          <w:sz w:val="2"/>
          <w:szCs w:val="2"/>
          <w:lang w:val="fi-FI"/>
        </w:rPr>
      </w:pPr>
      <w:r w:rsidRPr="009237E1">
        <w:rPr>
          <w:lang w:val="fi-FI"/>
        </w:rPr>
        <w:t>Henkilöstö keskimäärin tilikauden aikana o</w:t>
      </w:r>
      <w:r>
        <w:rPr>
          <w:lang w:val="fi-FI"/>
        </w:rPr>
        <w:t>li 373 (392).</w:t>
      </w:r>
      <w:r w:rsidRPr="00545125">
        <w:rPr>
          <w:sz w:val="2"/>
          <w:szCs w:val="2"/>
          <w:lang w:val="fi-FI"/>
        </w:rPr>
        <w:br w:type="column"/>
      </w:r>
    </w:p>
    <w:p w:rsidR="006140AB" w:rsidRPr="006140AB" w:rsidP="006140AB" w14:paraId="101B1E22" w14:textId="77777777">
      <w:pPr>
        <w:pStyle w:val="Heading11"/>
        <w:rPr>
          <w:lang w:val="fi-FI"/>
        </w:rPr>
      </w:pPr>
      <w:bookmarkStart w:id="1180" w:name="RG_MARKER_4564"/>
      <w:r w:rsidRPr="006140AB">
        <w:rPr>
          <w:lang w:val="fi-FI"/>
        </w:rPr>
        <w:t>3. POISTOT JA ARVONALENTUMISET</w:t>
      </w:r>
      <w:bookmarkEnd w:id="1180"/>
    </w:p>
    <w:tbl>
      <w:tblPr>
        <w:tblStyle w:val="TableNormal"/>
        <w:tblCaption w:val="parent_3"/>
        <w:tblDescription w:val="3. Poistot ja arvonalentumiset"/>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Suunnitelman mukaiset poistot</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pitkävaikutteiset menot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Koneet ja kalusto</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Suunnitelman mukaiset poistot yhteensä</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Kirjanpidon poistot yhteensä</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Poistoero</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Kertynyt poistoero tilikauden alussa</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Kertynyt poistoero tilikauden lopussa</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bl>
    <w:p/>
    <w:p w:rsidR="00457246" w:rsidRPr="00530887" w:rsidP="00457246" w14:paraId="462BAE5F" w14:textId="22617118">
      <w:pPr>
        <w:pStyle w:val="Heading11"/>
        <w:rPr>
          <w:lang w:val="fi-FI"/>
        </w:rPr>
      </w:pPr>
      <w:bookmarkStart w:id="1181" w:name="RG_MARKER_4565"/>
      <w:r w:rsidRPr="00530887">
        <w:rPr>
          <w:lang w:val="fi-FI"/>
        </w:rPr>
        <w:t>4. RAHOITUSTUOTOT- JA KULUT</w:t>
      </w:r>
      <w:bookmarkEnd w:id="1181"/>
    </w:p>
    <w:tbl>
      <w:tblPr>
        <w:tblStyle w:val="TableNormal"/>
        <w:tblCaption w:val="parent_4"/>
        <w:tblDescription w:val="4. Rahoitustuotot ja -kulut"/>
        <w:tblW w:w="7365" w:type="dxa"/>
        <w:tblLayout w:type="fixed"/>
        <w:tblLook w:val="0600"/>
      </w:tblPr>
      <w:tblGrid>
        <w:gridCol w:w="300"/>
        <w:gridCol w:w="3885"/>
        <w:gridCol w:w="1590"/>
        <w:gridCol w:w="1590"/>
      </w:tblGrid>
      <w:tr>
        <w:tblPrEx>
          <w:tblW w:w="7365" w:type="dxa"/>
          <w:tblLayout w:type="fixed"/>
          <w:tblLook w:val="0600"/>
        </w:tblPrEx>
        <w:trPr>
          <w:trHeight w:hRule="exact" w:val="240"/>
        </w:trPr>
        <w:tc>
          <w:tcPr>
            <w:tcW w:w="418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Osinkotuotot</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Saman konsernin yrityksiltä</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301</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korkotuotot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Saman konsernin yrityksiltä</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Muilta </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29</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rahoitustuotot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Saman konsernin yrityksiltä</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Muilta </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Kurssierot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Korkokulut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Saman konsernin yrityksille</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Muille</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8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rahoituskulut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Saman konsernin yrityksille</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-18</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Muille</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-46</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388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Rahoitustuotot ja -kulut 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305</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304</w:t>
            </w:r>
          </w:p>
        </w:tc>
      </w:tr>
    </w:tbl>
    <w:p/>
    <w:p w:rsidR="002642EE" w:rsidP="00CF5D17" w14:paraId="39C59665" w14:textId="02AFF6E3">
      <w:pPr>
        <w:pStyle w:val="Heading11"/>
      </w:pPr>
      <w:bookmarkStart w:id="1182" w:name="RG_MARKER_4566"/>
      <w:r>
        <w:t>5. VEROT</w:t>
      </w:r>
      <w:bookmarkEnd w:id="1182"/>
    </w:p>
    <w:tbl>
      <w:tblPr>
        <w:tblStyle w:val="TableNormal"/>
        <w:tblCaption w:val="parent_5"/>
        <w:tblDescription w:val="5. Verot"/>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Tuloverot</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Tilikaudelta</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bl>
    <w:p w:rsidR="004A0DF2" w:rsidRPr="00704D0D" w:rsidP="00CF5D17" w14:textId="07F3BD1C">
      <w:pPr>
        <w:pStyle w:val="Bodytext2"/>
        <w:rPr>
          <w:sz w:val="2"/>
          <w:szCs w:val="2"/>
        </w:rPr>
      </w:pPr>
      <w:r w:rsidRPr="00704D0D">
        <w:rPr>
          <w:sz w:val="2"/>
          <w:szCs w:val="2"/>
        </w:rPr>
        <w:br w:type="column"/>
      </w:r>
    </w:p>
    <w:p w:rsidR="00A84596" w:rsidRPr="00300563" w:rsidP="00A84596" w14:paraId="3BC6E39B" w14:textId="7A5B7F02">
      <w:pPr>
        <w:pStyle w:val="Heading11"/>
        <w:rPr>
          <w:lang w:val="fi-FI"/>
        </w:rPr>
      </w:pPr>
      <w:bookmarkStart w:id="1183" w:name="RG_MARKER_4567"/>
      <w:r w:rsidRPr="00300563">
        <w:rPr>
          <w:lang w:val="fi-FI"/>
        </w:rPr>
        <w:t>6. PYSYVÄT VASTAAVAT</w:t>
      </w:r>
      <w:bookmarkEnd w:id="1183"/>
    </w:p>
    <w:p w:rsidR="00A84596" w:rsidRPr="00300563" w:rsidP="00A84596" w14:paraId="58169676" w14:textId="77B2AF7F">
      <w:pPr>
        <w:pStyle w:val="Heading12"/>
        <w:rPr>
          <w:lang w:val="fi-FI"/>
        </w:rPr>
      </w:pPr>
      <w:r w:rsidRPr="00300563">
        <w:rPr>
          <w:lang w:val="fi-FI"/>
        </w:rPr>
        <w:t>Aineettomat oikeudet</w:t>
      </w:r>
    </w:p>
    <w:tbl>
      <w:tblPr>
        <w:tblStyle w:val="TableNormal"/>
        <w:tblCaption w:val="parent_6_1"/>
        <w:tblDescription w:val="6. Pysyvät vastaavat "/>
        <w:tblW w:w="7365" w:type="dxa"/>
        <w:tblLayout w:type="fixed"/>
        <w:tblLook w:val="0600"/>
      </w:tblPr>
      <w:tblGrid>
        <w:gridCol w:w="2565"/>
        <w:gridCol w:w="795"/>
        <w:gridCol w:w="795"/>
        <w:gridCol w:w="810"/>
        <w:gridCol w:w="810"/>
        <w:gridCol w:w="795"/>
        <w:gridCol w:w="795"/>
      </w:tblGrid>
      <w:tr>
        <w:tblPrEx>
          <w:tblW w:w="7365"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79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vaikutteiset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menot</w:t>
            </w: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Aineettomat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oikeudet ja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keskeneräi-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set hankinnat</w:t>
            </w:r>
          </w:p>
        </w:tc>
        <w:tc>
          <w:tcPr>
            <w:tcW w:w="79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79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1.1.</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123</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124</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Vähennykset</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31.12.</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117</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118</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124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poistot 1.1.</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-113</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Vähennysten kertyneet poistot ja muut muutokset</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poisto</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Kertyneet poistot 31.12.</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-109</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-109</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31.12.2020</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31.12.2019</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bl>
    <w:p w:rsidR="00A84596" w:rsidRPr="00300563" w:rsidP="00A84596" w14:paraId="3F255133" w14:textId="77777777">
      <w:pPr>
        <w:pStyle w:val="Bodytext2"/>
        <w:rPr>
          <w:lang w:val="fi-FI"/>
        </w:rPr>
      </w:pPr>
    </w:p>
    <w:p w:rsidR="00A84596" w:rsidRPr="00300563" w:rsidP="00A84596" w14:paraId="15A8F1F7" w14:textId="4BA2C7FC">
      <w:pPr>
        <w:pStyle w:val="Heading12"/>
        <w:rPr>
          <w:lang w:val="fi-FI"/>
        </w:rPr>
      </w:pPr>
      <w:r w:rsidRPr="00300563">
        <w:rPr>
          <w:lang w:val="fi-FI"/>
        </w:rPr>
        <w:t>Aineelliset hyödykkeet</w:t>
      </w:r>
    </w:p>
    <w:tbl>
      <w:tblPr>
        <w:tblStyle w:val="TableNormal"/>
        <w:tblCaption w:val="parent_6_2"/>
        <w:tblW w:w="7365" w:type="dxa"/>
        <w:tblLayout w:type="fixed"/>
        <w:tblLook w:val="0600"/>
      </w:tblPr>
      <w:tblGrid>
        <w:gridCol w:w="2565"/>
        <w:gridCol w:w="795"/>
        <w:gridCol w:w="795"/>
        <w:gridCol w:w="810"/>
        <w:gridCol w:w="810"/>
        <w:gridCol w:w="795"/>
        <w:gridCol w:w="795"/>
      </w:tblGrid>
      <w:tr>
        <w:tblPrEx>
          <w:tblW w:w="7365"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795" w:type="dxa"/>
            <w:tcBorders>
              <w:top w:val="nil"/>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Maa- ja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vesialueet</w:t>
            </w: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Rakennuk-</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set ja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rakennelmat</w:t>
            </w: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Koneet,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kalusto ja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muut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aineelliset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hyödykkeet</w:t>
            </w:r>
          </w:p>
        </w:tc>
        <w:tc>
          <w:tcPr>
            <w:tcW w:w="79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79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1.1.</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17</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Lisäykset</w:t>
            </w: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Vähennykset</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31.12.</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15</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poistot 1.1.</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Tilikauden poisto</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Kertyneet poistot 31.12.</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31.12.2020</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31.12.2019</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w:t>
            </w:r>
          </w:p>
        </w:tc>
      </w:tr>
    </w:tbl>
    <w:p w:rsidR="00A84596" w:rsidRPr="00300563" w:rsidP="00A84596" w14:paraId="0940C73C" w14:textId="77777777">
      <w:pPr>
        <w:pStyle w:val="Heading12"/>
        <w:rPr>
          <w:lang w:val="fi-FI"/>
        </w:rPr>
      </w:pPr>
    </w:p>
    <w:p w:rsidR="00A84596" w:rsidRPr="00300563" w:rsidP="00A84596" w14:paraId="4310D648" w14:textId="105AA8CA">
      <w:pPr>
        <w:pStyle w:val="Heading12"/>
        <w:rPr>
          <w:lang w:val="fi-FI"/>
        </w:rPr>
      </w:pPr>
      <w:r w:rsidRPr="00300563">
        <w:rPr>
          <w:lang w:val="fi-FI"/>
        </w:rPr>
        <w:t>Sijoitukset</w:t>
      </w:r>
    </w:p>
    <w:tbl>
      <w:tblPr>
        <w:tblStyle w:val="TableNormal"/>
        <w:tblCaption w:val="parent_6_3"/>
        <w:tblW w:w="7365" w:type="dxa"/>
        <w:tblLayout w:type="fixed"/>
        <w:tblLook w:val="0600"/>
      </w:tblPr>
      <w:tblGrid>
        <w:gridCol w:w="2565"/>
        <w:gridCol w:w="795"/>
        <w:gridCol w:w="795"/>
        <w:gridCol w:w="810"/>
        <w:gridCol w:w="810"/>
        <w:gridCol w:w="795"/>
        <w:gridCol w:w="795"/>
      </w:tblGrid>
      <w:tr>
        <w:tblPrEx>
          <w:tblW w:w="7365" w:type="dxa"/>
          <w:tblLayout w:type="fixed"/>
          <w:tblLook w:val="0600"/>
        </w:tblPrEx>
        <w:trPr>
          <w:trHeight w:val="240"/>
        </w:trPr>
        <w:tc>
          <w:tcPr>
            <w:tcW w:w="256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79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nil"/>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Osakkeet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yrityksissä  </w:t>
            </w:r>
          </w:p>
        </w:tc>
        <w:tc>
          <w:tcPr>
            <w:tcW w:w="81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Osakkeet</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muissa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yrityksissä </w:t>
            </w:r>
          </w:p>
        </w:tc>
        <w:tc>
          <w:tcPr>
            <w:tcW w:w="79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79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1.1.</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8" w:space="0" w:color="0F172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810"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8" w:space="0" w:color="0F172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c>
          <w:tcPr>
            <w:tcW w:w="795" w:type="dxa"/>
            <w:tcBorders>
              <w:top w:val="single" w:sz="8" w:space="0" w:color="0F172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Hankintameno 31.12.</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256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31.12.2020</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256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31.12.2019</w:t>
            </w: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950</w:t>
            </w:r>
          </w:p>
        </w:tc>
        <w:tc>
          <w:tcPr>
            <w:tcW w:w="810"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795" w:type="dxa"/>
            <w:tcBorders>
              <w:top w:val="single" w:sz="4" w:space="0" w:color="004A6B"/>
              <w:left w:val="nil"/>
              <w:bottom w:val="single" w:sz="4" w:space="0" w:color="004A6B"/>
              <w:right w:val="nil"/>
              <w:tl2br w:val="nil"/>
              <w:tr2bl w:val="nil"/>
            </w:tcBorders>
            <w:shd w:val="clear" w:color="FFFFFF" w:fill="EBEBEB"/>
            <w:noWrap w:val="0"/>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795" w:type="dxa"/>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951</w:t>
            </w:r>
          </w:p>
        </w:tc>
      </w:tr>
    </w:tbl>
    <w:p/>
    <w:p w:rsidR="009D0A15" w:rsidP="009D0A15" w14:paraId="1C7F283B" w14:textId="0ED0B116">
      <w:pPr>
        <w:pStyle w:val="Heading11"/>
      </w:pPr>
      <w:bookmarkStart w:id="1184" w:name="RG_MARKER_4568"/>
      <w:r>
        <w:t>7. PITKÄAIKAISET SAAMISET</w:t>
      </w:r>
      <w:bookmarkEnd w:id="1184"/>
    </w:p>
    <w:tbl>
      <w:tblPr>
        <w:tblStyle w:val="TableNormal"/>
        <w:tblCaption w:val="parent_7"/>
        <w:tblDescription w:val="7. Pitkäaikaiset saamiset"/>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Saamiset saman konsernin yrityksiltä</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Lainasaamiset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r>
    </w:tbl>
    <w:p/>
    <w:p w:rsidR="00585940" w:rsidRPr="006A4066" w:rsidP="00585940" w14:paraId="3A1DC94E" w14:textId="54D9AF34">
      <w:pPr>
        <w:pStyle w:val="Heading11"/>
        <w:rPr>
          <w:lang w:val="fi-FI"/>
        </w:rPr>
      </w:pPr>
      <w:bookmarkStart w:id="1185" w:name="RG_MARKER_4569"/>
      <w:r w:rsidRPr="006A4066">
        <w:rPr>
          <w:lang w:val="fi-FI"/>
        </w:rPr>
        <w:t>8. LYHYTAIKAISET SAAMISET KONSERNIN YRITYKSILTÄ</w:t>
      </w:r>
      <w:bookmarkEnd w:id="1185"/>
    </w:p>
    <w:tbl>
      <w:tblPr>
        <w:tblStyle w:val="TableNormal"/>
        <w:tblCaption w:val="parent_8"/>
        <w:tblDescription w:val="8. Lyhytaikaiset saamiset konsernin yrityksiltä"/>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Lainasaamiset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1 790</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2 135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w:t>
            </w: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Siirtosaamiset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1 846</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2 193</w:t>
            </w:r>
          </w:p>
        </w:tc>
      </w:tr>
    </w:tbl>
    <w:p w:rsidR="004A0DF2" w:rsidRPr="006A4066" w:rsidP="00585940" w14:textId="3E23467E">
      <w:pPr>
        <w:pStyle w:val="Bodytext2"/>
        <w:rPr>
          <w:sz w:val="2"/>
          <w:szCs w:val="2"/>
          <w:lang w:val="fi-FI"/>
        </w:rPr>
      </w:pPr>
      <w:r w:rsidRPr="006A4066">
        <w:rPr>
          <w:sz w:val="2"/>
          <w:szCs w:val="2"/>
          <w:lang w:val="fi-FI"/>
        </w:rPr>
        <w:br w:type="column"/>
      </w:r>
    </w:p>
    <w:p w:rsidR="001354D2" w:rsidP="001354D2" w14:paraId="58CF918F" w14:textId="3392CBBA">
      <w:pPr>
        <w:pStyle w:val="Heading11"/>
        <w:rPr>
          <w:lang w:val="fi-FI"/>
        </w:rPr>
      </w:pPr>
      <w:bookmarkStart w:id="1186" w:name="RG_MARKER_4570"/>
      <w:r>
        <w:rPr>
          <w:lang w:val="fi-FI"/>
        </w:rPr>
        <w:t>9. SIIRTOSAAMISET</w:t>
      </w:r>
      <w:bookmarkEnd w:id="1186"/>
    </w:p>
    <w:tbl>
      <w:tblPr>
        <w:tblStyle w:val="TableNormal"/>
        <w:tblCaption w:val="parent_9"/>
        <w:tblDescription w:val="9. Siirtosaamiset"/>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41</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r>
    </w:tbl>
    <w:p/>
    <w:p w:rsidR="002642EE" w:rsidP="00066ABD" w14:textId="5C64A74C">
      <w:pPr>
        <w:pStyle w:val="Heading11"/>
      </w:pPr>
      <w:bookmarkStart w:id="1187" w:name="RG_MARKER_4571"/>
      <w:r>
        <w:t>10. OMA PÄÄOMA</w:t>
      </w:r>
      <w:bookmarkEnd w:id="1187"/>
    </w:p>
    <w:tbl>
      <w:tblPr>
        <w:tblStyle w:val="TableNormal"/>
        <w:tblCaption w:val="parent_10"/>
        <w:tblDescription w:val="10. Oma pääoma"/>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Osakepääoma</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Osakepääoma tilikauden alussa</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Osakepääoma tilikauden lopussa</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336</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Ylikurssirahasto</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Ylikurssirahasto tilikauden alussa</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Ylikurssirahasto tilikauden lopussa</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61</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Kertyneet voittovarat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voittovarat tilikauden alussa</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994</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1038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Osingonjako</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-284</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-284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Tilikauden tulos </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265</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Kertyneet voittovarat tilikauden lopussa</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974</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Oma pääoma yhteensä</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1371</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1391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Jakokelpoiset varat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974</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994</w:t>
            </w:r>
          </w:p>
        </w:tc>
      </w:tr>
    </w:tbl>
    <w:p w:rsidR="004A0DF2" w:rsidRPr="00B20353" w:rsidP="00066ABD" w14:textId="16E996C3">
      <w:pPr>
        <w:pStyle w:val="Bodytext2"/>
        <w:rPr>
          <w:sz w:val="2"/>
          <w:szCs w:val="2"/>
        </w:rPr>
      </w:pPr>
      <w:r w:rsidRPr="00B20353">
        <w:rPr>
          <w:sz w:val="2"/>
          <w:szCs w:val="2"/>
        </w:rPr>
        <w:br w:type="column"/>
      </w:r>
    </w:p>
    <w:p w:rsidR="00424EAE" w:rsidRPr="00D43EE5" w:rsidP="00424EAE" w14:paraId="3D8E5454" w14:textId="6D99D1D8">
      <w:pPr>
        <w:pStyle w:val="Heading11"/>
        <w:rPr>
          <w:lang w:val="fi-FI"/>
        </w:rPr>
      </w:pPr>
      <w:bookmarkStart w:id="1188" w:name="RG_MARKER_4572"/>
      <w:r w:rsidRPr="00D43EE5">
        <w:rPr>
          <w:lang w:val="fi-FI"/>
        </w:rPr>
        <w:t>11. VIERAS PÄÄOMA</w:t>
      </w:r>
      <w:bookmarkEnd w:id="1188"/>
    </w:p>
    <w:tbl>
      <w:tblPr>
        <w:tblStyle w:val="TableNormal"/>
        <w:tblCaption w:val="parent_11_1"/>
        <w:tblDescription w:val="11. Vieras pääoma"/>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Pitkäaikainen</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Korollinen</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953</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953</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Lyhytaikainen</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Koroton</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108</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Korollinen</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1 202</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1 060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1 310</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1 155</w:t>
            </w:r>
          </w:p>
        </w:tc>
      </w:tr>
    </w:tbl>
    <w:p w:rsidR="00424EAE" w:rsidRPr="00D43EE5" w:rsidP="00424EAE" w14:paraId="4B46C090" w14:textId="77777777">
      <w:pPr>
        <w:pStyle w:val="Bodytext2"/>
        <w:rPr>
          <w:lang w:val="fi-FI"/>
        </w:rPr>
      </w:pPr>
    </w:p>
    <w:p w:rsidR="00424EAE" w:rsidRPr="00D43EE5" w:rsidP="00424EAE" w14:paraId="7F63463C" w14:textId="5F06BF3F">
      <w:pPr>
        <w:pStyle w:val="Heading12"/>
        <w:rPr>
          <w:lang w:val="fi-FI"/>
        </w:rPr>
      </w:pPr>
      <w:r w:rsidRPr="00D43EE5">
        <w:rPr>
          <w:lang w:val="fi-FI"/>
        </w:rPr>
        <w:t>Yhtiön lainat ja niiden lyhennysohjelma</w:t>
      </w:r>
    </w:p>
    <w:p w:rsidR="00424EAE" w:rsidRPr="00D43EE5" w:rsidP="00424EAE" w14:paraId="29A29AED" w14:textId="77777777">
      <w:pPr>
        <w:pStyle w:val="Bodytext2"/>
        <w:rPr>
          <w:lang w:val="fi-FI"/>
        </w:rPr>
      </w:pPr>
    </w:p>
    <w:tbl>
      <w:tblPr>
        <w:tblStyle w:val="TableNormal"/>
        <w:tblCaption w:val="parent_11_2"/>
        <w:tblW w:w="7365" w:type="dxa"/>
        <w:tblLayout w:type="fixed"/>
        <w:tblLook w:val="0600"/>
      </w:tblPr>
      <w:tblGrid>
        <w:gridCol w:w="4185"/>
        <w:gridCol w:w="1590"/>
        <w:gridCol w:w="1590"/>
      </w:tblGrid>
      <w:tr>
        <w:tblPrEx>
          <w:tblW w:w="7365" w:type="dxa"/>
          <w:tblLayout w:type="fixed"/>
          <w:tblLook w:val="0600"/>
        </w:tblPrEx>
        <w:trPr>
          <w:trHeight w:val="240"/>
        </w:trPr>
        <w:tc>
          <w:tcPr>
            <w:tcW w:w="418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Lainat rahoituslaitoksilta:</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1 084</w:t>
            </w:r>
          </w:p>
        </w:tc>
        <w:tc>
          <w:tcPr>
            <w:tcW w:w="1590"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Lyhytaikainen</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 &lt;1 v</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Pitkäaikainen</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 v</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661</w:t>
            </w:r>
          </w:p>
        </w:tc>
        <w:tc>
          <w:tcPr>
            <w:tcW w:w="159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&gt;5 v</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292</w:t>
            </w:r>
          </w:p>
        </w:tc>
        <w:tc>
          <w:tcPr>
            <w:tcW w:w="159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328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1 084</w:t>
            </w:r>
          </w:p>
        </w:tc>
        <w:tc>
          <w:tcPr>
            <w:tcW w:w="1590"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899</w:t>
            </w:r>
          </w:p>
        </w:tc>
      </w:tr>
    </w:tbl>
    <w:p/>
    <w:p w:rsidR="00473FAF" w:rsidP="00473FAF" w14:paraId="67257575" w14:textId="19F1D348">
      <w:pPr>
        <w:pStyle w:val="Heading11"/>
      </w:pPr>
      <w:bookmarkStart w:id="1189" w:name="RG_MARKER_4573"/>
      <w:r>
        <w:t>12. SIIRTOVELAT</w:t>
      </w:r>
      <w:bookmarkEnd w:id="1189"/>
    </w:p>
    <w:tbl>
      <w:tblPr>
        <w:tblStyle w:val="TableNormal"/>
        <w:tblCaption w:val="parent_12"/>
        <w:tblDescription w:val="12. Siirtovelat"/>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Henkilöstökulut </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Korot ja muut rahoituserät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44</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36</w:t>
            </w:r>
          </w:p>
        </w:tc>
      </w:tr>
    </w:tbl>
    <w:p w:rsidR="004A0DF2" w:rsidRPr="00114613" w:rsidP="00473FAF" w14:textId="50E5FE40">
      <w:pPr>
        <w:pStyle w:val="Bodytext2"/>
        <w:rPr>
          <w:sz w:val="2"/>
          <w:szCs w:val="2"/>
        </w:rPr>
      </w:pPr>
      <w:r w:rsidRPr="00114613">
        <w:rPr>
          <w:sz w:val="2"/>
          <w:szCs w:val="2"/>
        </w:rPr>
        <w:br w:type="column"/>
      </w:r>
    </w:p>
    <w:p w:rsidR="003F635E" w:rsidRPr="0053698E" w:rsidP="003F635E" w14:paraId="69AABC5C" w14:textId="5CF5F330">
      <w:pPr>
        <w:pStyle w:val="Heading11"/>
        <w:rPr>
          <w:lang w:val="fi-FI"/>
        </w:rPr>
      </w:pPr>
      <w:bookmarkStart w:id="1190" w:name="RG_MARKER_4574"/>
      <w:r w:rsidRPr="0053698E">
        <w:rPr>
          <w:lang w:val="fi-FI"/>
        </w:rPr>
        <w:t>13. VELAT KONSERNIN YRITYKSILLE</w:t>
      </w:r>
      <w:bookmarkEnd w:id="1190"/>
    </w:p>
    <w:tbl>
      <w:tblPr>
        <w:tblStyle w:val="TableNormal"/>
        <w:tblCaption w:val="parent_13"/>
        <w:tblDescription w:val="13. Velat konsernin yrityksille"/>
        <w:tblW w:w="7365" w:type="dxa"/>
        <w:tblLayout w:type="fixed"/>
        <w:tblLook w:val="0600"/>
      </w:tblPr>
      <w:tblGrid>
        <w:gridCol w:w="4185"/>
        <w:gridCol w:w="1590"/>
        <w:gridCol w:w="1590"/>
      </w:tblGrid>
      <w:tr>
        <w:tblPrEx>
          <w:tblW w:w="7365" w:type="dxa"/>
          <w:tblLayout w:type="fixed"/>
          <w:tblLook w:val="0600"/>
        </w:tblPrEx>
        <w:trPr>
          <w:trHeight w:hRule="exact" w:val="240"/>
        </w:trPr>
        <w:tc>
          <w:tcPr>
            <w:tcW w:w="418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lyhytaikaiset velat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1 072</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1 008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Siirtovelat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1 129</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1 052</w:t>
            </w:r>
          </w:p>
        </w:tc>
      </w:tr>
    </w:tbl>
    <w:p/>
    <w:p w:rsidR="009F192A" w:rsidRPr="00ED505B" w:rsidP="009F192A" w14:paraId="57935DA1" w14:textId="7C558A24">
      <w:pPr>
        <w:pStyle w:val="Heading11"/>
        <w:rPr>
          <w:lang w:val="fi-FI"/>
        </w:rPr>
      </w:pPr>
      <w:bookmarkStart w:id="1191" w:name="RG_MARKER_4575"/>
      <w:r w:rsidRPr="00ED505B">
        <w:rPr>
          <w:lang w:val="fi-FI"/>
        </w:rPr>
        <w:t>14. RAHOITUSVARAT JA -VELAT ARVOSTUSRYHMITTÄIN</w:t>
      </w:r>
      <w:bookmarkEnd w:id="1191"/>
    </w:p>
    <w:p w:rsidR="009F192A" w:rsidRPr="00ED505B" w:rsidP="009F192A" w14:paraId="4B7BD4A3" w14:textId="77777777">
      <w:pPr>
        <w:pStyle w:val="Heading12"/>
        <w:rPr>
          <w:lang w:val="fi-FI"/>
        </w:rPr>
      </w:pPr>
      <w:r w:rsidRPr="00ED505B">
        <w:rPr>
          <w:lang w:val="fi-FI"/>
        </w:rPr>
        <w:t>2020</w:t>
      </w:r>
    </w:p>
    <w:tbl>
      <w:tblPr>
        <w:tblStyle w:val="TableNormal"/>
        <w:tblCaption w:val="parent_14_1"/>
        <w:tblDescription w:val="14. Rahoitusvarat ja -velat arvostusryhmittäin"/>
        <w:tblW w:w="7365" w:type="dxa"/>
        <w:tblLayout w:type="fixed"/>
        <w:tblLook w:val="0600"/>
      </w:tblPr>
      <w:tblGrid>
        <w:gridCol w:w="300"/>
        <w:gridCol w:w="3405"/>
        <w:gridCol w:w="915"/>
        <w:gridCol w:w="915"/>
        <w:gridCol w:w="915"/>
        <w:gridCol w:w="915"/>
      </w:tblGrid>
      <w:tr>
        <w:tblPrEx>
          <w:tblW w:w="7365" w:type="dxa"/>
          <w:tblLayout w:type="fixed"/>
          <w:tblLook w:val="0600"/>
        </w:tblPrEx>
        <w:trPr>
          <w:trHeight w:val="240"/>
        </w:trPr>
        <w:tc>
          <w:tcPr>
            <w:tcW w:w="3705" w:type="dxa"/>
            <w:gridSpan w:val="2"/>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Jaksotettuun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menoon</w:t>
            </w:r>
          </w:p>
        </w:tc>
        <w:tc>
          <w:tcPr>
            <w:tcW w:w="9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Käypään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tulosvai-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kutteisesti </w:t>
            </w:r>
          </w:p>
        </w:tc>
        <w:tc>
          <w:tcPr>
            <w:tcW w:w="9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Tase-erien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arvot</w:t>
            </w:r>
          </w:p>
        </w:tc>
        <w:tc>
          <w:tcPr>
            <w:tcW w:w="915"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Käypä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rahoitusvarat</w:t>
            </w: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sijoitukset saman konsernin yrityksiltä</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rahoitusvarat</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saamiset saman konsernin yrityksiltä</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1 790</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1 790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1 790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 xml:space="preserve">Myyntisaamiset </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 saman konsernin yrityksiltä</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 saman konsernin yrityksiltä</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 saman konsernin yrityksiltä</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rahavarat</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332</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332</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332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 ja pankkisaamiset</w:t>
            </w: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367</w:t>
            </w:r>
          </w:p>
        </w:tc>
        <w:tc>
          <w:tcPr>
            <w:tcW w:w="91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367</w:t>
            </w: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367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arvostusryhmittäin</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2 610</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63</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2 673</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2 673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40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rahoitusvelat</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953</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953</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963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rahoitusvelat</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 saman konsernin yrityksille</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1 072</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1 072</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1 072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 saman konsernin yrityksille</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 saman konsernin yrityksille</w:t>
            </w:r>
          </w:p>
        </w:tc>
        <w:tc>
          <w:tcPr>
            <w:tcW w:w="915"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c>
          <w:tcPr>
            <w:tcW w:w="915"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velat</w:t>
            </w: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15"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c>
          <w:tcPr>
            <w:tcW w:w="915"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arvostusryhmittäin</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2 177</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70</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2 247</w:t>
            </w:r>
          </w:p>
        </w:tc>
        <w:tc>
          <w:tcPr>
            <w:tcW w:w="915"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2 257</w:t>
            </w:r>
          </w:p>
        </w:tc>
      </w:tr>
    </w:tbl>
    <w:p w:rsidR="009F192A" w:rsidRPr="00ED505B" w:rsidP="009F192A" w14:paraId="5A6B7A92" w14:textId="77777777">
      <w:pPr>
        <w:pStyle w:val="Bodytext2"/>
        <w:rPr>
          <w:szCs w:val="15"/>
          <w:lang w:val="fi-FI"/>
        </w:rPr>
      </w:pPr>
    </w:p>
    <w:p w:rsidR="009F192A" w:rsidRPr="00ED505B" w:rsidP="009F192A" w14:paraId="684A0B14" w14:textId="77777777">
      <w:pPr>
        <w:pStyle w:val="Heading12"/>
        <w:rPr>
          <w:lang w:val="fi-FI"/>
        </w:rPr>
      </w:pPr>
      <w:r w:rsidRPr="00ED505B">
        <w:rPr>
          <w:lang w:val="fi-FI"/>
        </w:rPr>
        <w:t>2019</w:t>
      </w:r>
    </w:p>
    <w:tbl>
      <w:tblPr>
        <w:tblStyle w:val="TableNormal"/>
        <w:tblCaption w:val="parent_14_2"/>
        <w:tblW w:w="7365" w:type="dxa"/>
        <w:tblLayout w:type="fixed"/>
        <w:tblLook w:val="0600"/>
      </w:tblPr>
      <w:tblGrid>
        <w:gridCol w:w="300"/>
        <w:gridCol w:w="3405"/>
        <w:gridCol w:w="915"/>
        <w:gridCol w:w="915"/>
        <w:gridCol w:w="915"/>
        <w:gridCol w:w="915"/>
      </w:tblGrid>
      <w:tr>
        <w:tblPrEx>
          <w:tblW w:w="7365" w:type="dxa"/>
          <w:tblLayout w:type="fixed"/>
          <w:tblLook w:val="0600"/>
        </w:tblPrEx>
        <w:trPr>
          <w:trHeight w:val="240"/>
        </w:trPr>
        <w:tc>
          <w:tcPr>
            <w:tcW w:w="3705" w:type="dxa"/>
            <w:gridSpan w:val="2"/>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9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Jaksotettuun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hankinta-</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menoon</w:t>
            </w:r>
          </w:p>
        </w:tc>
        <w:tc>
          <w:tcPr>
            <w:tcW w:w="9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Käypään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arvoon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tulosvai-</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kutteisesti </w:t>
            </w:r>
          </w:p>
        </w:tc>
        <w:tc>
          <w:tcPr>
            <w:tcW w:w="9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Tase-erien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arvot</w:t>
            </w:r>
          </w:p>
        </w:tc>
        <w:tc>
          <w:tcPr>
            <w:tcW w:w="915"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Käypä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arvo</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rahoitusvarat</w:t>
            </w: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sijoitukset saman konsernin yrityksiltä</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rahoitusvarat</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saamiset saman konsernin yrityksiltä</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2 135</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2 135</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2 135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Myyntisaamiset saman konsernin yrityksiltä</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 saman konsernin yrityksiltä</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saamiset saman konsernin yrityksiltä</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rahavarat</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Raha ja pankkisaamiset</w:t>
            </w: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c>
          <w:tcPr>
            <w:tcW w:w="91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3705" w:type="dxa"/>
            <w:gridSpan w:val="2"/>
            <w:tcBorders>
              <w:top w:val="single" w:sz="8" w:space="0" w:color="0F172B"/>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arvostusryhmittäin</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2 379</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51</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2 430</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2 430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40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Pitkäaikaiset rahoitusvelat</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847</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847</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Lyhytaikaiset rahoitusvelat</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Korolliset velat saman konsernin yrityksille</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1 008</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1 008</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1 008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Ostovelat saman konsernin yrityksille</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4" w:space="0" w:color="004A6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Johdannaiset saman konsernin yrityksille</w:t>
            </w:r>
          </w:p>
        </w:tc>
        <w:tc>
          <w:tcPr>
            <w:tcW w:w="915"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c>
          <w:tcPr>
            <w:tcW w:w="915"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25</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4" w:space="0" w:color="004A6B"/>
              <w:left w:val="nil"/>
              <w:bottom w:val="single" w:sz="8" w:space="0" w:color="0F172B"/>
              <w:right w:val="nil"/>
              <w:tl2br w:val="nil"/>
              <w:tr2bl w:val="nil"/>
            </w:tcBorders>
            <w:shd w:val="clear" w:color="FFFFFF" w:fill="FFFFFF"/>
            <w:noWrap/>
            <w:tcMar>
              <w:left w:w="22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velat</w:t>
            </w: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915"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c>
          <w:tcPr>
            <w:tcW w:w="91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70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Kirjanpitoarvo arvostusryhmittäin</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1 940</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49</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1 988</w:t>
            </w:r>
          </w:p>
        </w:tc>
        <w:tc>
          <w:tcPr>
            <w:tcW w:w="915" w:type="dxa"/>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1 996</w:t>
            </w:r>
          </w:p>
        </w:tc>
      </w:tr>
    </w:tbl>
    <w:p w:rsidR="009F192A" w:rsidRPr="00ED505B" w:rsidP="009F192A" w14:paraId="0DBFD929" w14:textId="77777777">
      <w:pPr>
        <w:pStyle w:val="Bodytext2"/>
        <w:rPr>
          <w:szCs w:val="15"/>
          <w:lang w:val="fi-FI"/>
        </w:rPr>
      </w:pPr>
    </w:p>
    <w:p w:rsidR="009F192A" w:rsidRPr="00ED505B" w:rsidP="009F192A" w14:paraId="65460421" w14:textId="6E8DFE49">
      <w:pPr>
        <w:pStyle w:val="Bodytext2"/>
        <w:rPr>
          <w:sz w:val="2"/>
          <w:szCs w:val="2"/>
          <w:lang w:val="fi-FI"/>
        </w:rPr>
      </w:pPr>
      <w:r w:rsidRPr="009F192A">
        <w:rPr>
          <w:szCs w:val="15"/>
          <w:lang w:val="fi-FI"/>
        </w:rPr>
        <w:t xml:space="preserve">Tietoja käyvän arvon hierarkiasta ja arvostusperiaatteesta löytyy konsernitilinpäätöksen liitetiedosta </w:t>
      </w:r>
      <w:r>
        <w:rPr>
          <w:szCs w:val="15"/>
          <w:lang w:val="fi-FI"/>
        </w:rPr>
        <w:t>5.2. Rahoitusvarat ja -velat arvostusryhmittäin.</w:t>
      </w:r>
      <w:r>
        <w:rPr>
          <w:szCs w:val="15"/>
          <w:lang w:val="fi-FI"/>
        </w:rPr>
        <w:br w:type="column"/>
      </w:r>
    </w:p>
    <w:p w:rsidR="00253764" w:rsidRPr="00CF7C22" w:rsidP="00253764" w14:paraId="22EB6386" w14:textId="59AB5789">
      <w:pPr>
        <w:pStyle w:val="Heading11"/>
        <w:rPr>
          <w:lang w:val="fi-FI"/>
        </w:rPr>
      </w:pPr>
      <w:bookmarkStart w:id="1192" w:name="RG_MARKER_4576"/>
      <w:r w:rsidRPr="00CF7C22">
        <w:rPr>
          <w:lang w:val="fi-FI"/>
        </w:rPr>
        <w:t>15. JOHDANNAISINSTRUMENTIT</w:t>
      </w:r>
      <w:bookmarkEnd w:id="1192"/>
    </w:p>
    <w:p w:rsidR="00253764" w:rsidRPr="00CF7C22" w:rsidP="00253764" w14:paraId="3B55C05B" w14:textId="77777777">
      <w:pPr>
        <w:pStyle w:val="Heading12"/>
        <w:rPr>
          <w:lang w:val="fi-FI"/>
        </w:rPr>
      </w:pPr>
      <w:r w:rsidRPr="00CF7C22">
        <w:rPr>
          <w:lang w:val="fi-FI"/>
        </w:rPr>
        <w:t>2020</w:t>
      </w:r>
    </w:p>
    <w:tbl>
      <w:tblPr>
        <w:tblStyle w:val="TableNormal"/>
        <w:tblCaption w:val="parent_15_1"/>
        <w:tblDescription w:val="15. Johdannaisinstrumentit"/>
        <w:tblW w:w="7365" w:type="dxa"/>
        <w:tblLayout w:type="fixed"/>
        <w:tblLook w:val="0600"/>
      </w:tblPr>
      <w:tblGrid>
        <w:gridCol w:w="300"/>
        <w:gridCol w:w="3915"/>
        <w:gridCol w:w="1050"/>
        <w:gridCol w:w="1050"/>
        <w:gridCol w:w="1050"/>
      </w:tblGrid>
      <w:tr>
        <w:tblPrEx>
          <w:tblW w:w="7365" w:type="dxa"/>
          <w:tblLayout w:type="fixed"/>
          <w:tblLook w:val="0600"/>
        </w:tblPrEx>
        <w:trPr>
          <w:trHeight w:val="240"/>
        </w:trPr>
        <w:tc>
          <w:tcPr>
            <w:tcW w:w="4215" w:type="dxa"/>
            <w:gridSpan w:val="2"/>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5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Ulkoisten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laitoisten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kanssa</w:t>
            </w:r>
          </w:p>
        </w:tc>
        <w:tc>
          <w:tcPr>
            <w:tcW w:w="105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sisäiset</w:t>
            </w:r>
          </w:p>
        </w:tc>
        <w:tc>
          <w:tcPr>
            <w:tcW w:w="105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Johdannaisinstrumenttien nimellisarvot</w:t>
            </w: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transaktioriski</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1 649</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1 861</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3 509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Koronvaihtosopimukset</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450</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130</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580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 ja valuutanvaihtosopimukset</w:t>
            </w: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237</w:t>
            </w: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4 327</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Johdannaisinstrumenttien markkina-arvostukset (taso 2)</w:t>
            </w: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transaktioriski</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-23</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Koronvaihtosopimukset</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c>
          <w:tcPr>
            <w:tcW w:w="105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 ja valuutanvaihtosopimukset</w:t>
            </w: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c>
          <w:tcPr>
            <w:tcW w:w="1050" w:type="dxa"/>
            <w:tcBorders>
              <w:top w:val="single" w:sz="4" w:space="0" w:color="004A6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-8</w:t>
            </w:r>
          </w:p>
        </w:tc>
      </w:tr>
    </w:tbl>
    <w:p w:rsidR="00253764" w:rsidRPr="00CF7C22" w:rsidP="00253764" w14:paraId="0586C989" w14:textId="77777777">
      <w:pPr>
        <w:pStyle w:val="Bodytext2"/>
        <w:rPr>
          <w:lang w:val="fi-FI"/>
        </w:rPr>
      </w:pPr>
    </w:p>
    <w:p w:rsidR="00253764" w:rsidRPr="00CF7C22" w:rsidP="00253764" w14:paraId="1EEE3AA1" w14:textId="77777777">
      <w:pPr>
        <w:pStyle w:val="Heading12"/>
        <w:rPr>
          <w:lang w:val="fi-FI"/>
        </w:rPr>
      </w:pPr>
      <w:r w:rsidRPr="00CF7C22">
        <w:rPr>
          <w:lang w:val="fi-FI"/>
        </w:rPr>
        <w:t>2019</w:t>
      </w:r>
    </w:p>
    <w:tbl>
      <w:tblPr>
        <w:tblStyle w:val="TableNormal"/>
        <w:tblCaption w:val="parent_15_2"/>
        <w:tblW w:w="7365" w:type="dxa"/>
        <w:tblLayout w:type="fixed"/>
        <w:tblLook w:val="0600"/>
      </w:tblPr>
      <w:tblGrid>
        <w:gridCol w:w="300"/>
        <w:gridCol w:w="3915"/>
        <w:gridCol w:w="1050"/>
        <w:gridCol w:w="1050"/>
        <w:gridCol w:w="1050"/>
      </w:tblGrid>
      <w:tr>
        <w:tblPrEx>
          <w:tblW w:w="7365" w:type="dxa"/>
          <w:tblLayout w:type="fixed"/>
          <w:tblLook w:val="0600"/>
        </w:tblPrEx>
        <w:trPr>
          <w:trHeight w:val="240"/>
        </w:trPr>
        <w:tc>
          <w:tcPr>
            <w:tcW w:w="4215" w:type="dxa"/>
            <w:gridSpan w:val="2"/>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05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Ulkoisten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rahoitus-</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laitoisten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kanssa</w:t>
            </w:r>
          </w:p>
        </w:tc>
        <w:tc>
          <w:tcPr>
            <w:tcW w:w="1050" w:type="dxa"/>
            <w:tcBorders>
              <w:top w:val="nil"/>
              <w:left w:val="nil"/>
              <w:bottom w:val="single" w:sz="8" w:space="0" w:color="0F172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Konsernin</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sisäiset</w:t>
            </w:r>
          </w:p>
        </w:tc>
        <w:tc>
          <w:tcPr>
            <w:tcW w:w="105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 xml:space="preserve">Yhteensä </w:t>
            </w:r>
          </w:p>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Johdannaisinstrumenttien nimellisarvot</w:t>
            </w: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transaktioriski</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2 358</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2 448</w:t>
            </w:r>
          </w:p>
        </w:tc>
        <w:tc>
          <w:tcPr>
            <w:tcW w:w="10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4 806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Koronvaihtosopimukset</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400</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130</w:t>
            </w:r>
          </w:p>
        </w:tc>
        <w:tc>
          <w:tcPr>
            <w:tcW w:w="10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530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 ja valuutanvaihtosopimukset</w:t>
            </w: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246</w:t>
            </w: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246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5 582</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30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3915"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Johdannaisinstrumenttien markkina-arvostukset (taso 2)</w:t>
            </w: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Valuuttatermiinit, transaktioriski</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c>
          <w:tcPr>
            <w:tcW w:w="1050" w:type="dxa"/>
            <w:tcBorders>
              <w:top w:val="single" w:sz="4" w:space="0" w:color="004A6B"/>
              <w:left w:val="nil"/>
              <w:bottom w:val="single" w:sz="4" w:space="0" w:color="004A6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Koronvaihtosopimukset</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w:t>
            </w:r>
          </w:p>
        </w:tc>
        <w:tc>
          <w:tcPr>
            <w:tcW w:w="1050" w:type="dxa"/>
            <w:tcBorders>
              <w:top w:val="single" w:sz="4" w:space="0" w:color="004A6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c>
          <w:tcPr>
            <w:tcW w:w="105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-6</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Koron- ja valuutanvaihtosopimukset</w:t>
            </w:r>
          </w:p>
        </w:tc>
        <w:tc>
          <w:tcPr>
            <w:tcW w:w="1050"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c>
          <w:tcPr>
            <w:tcW w:w="1050" w:type="dxa"/>
            <w:tcBorders>
              <w:top w:val="single" w:sz="4" w:space="0" w:color="004A6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215" w:type="dxa"/>
            <w:gridSpan w:val="2"/>
            <w:tcBorders>
              <w:top w:val="single" w:sz="8" w:space="0" w:color="0F172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FFFFFF" w:fill="FFFFFF"/>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p>
        </w:tc>
        <w:tc>
          <w:tcPr>
            <w:tcW w:w="105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w:t>
            </w:r>
          </w:p>
        </w:tc>
      </w:tr>
    </w:tbl>
    <w:p w:rsidR="00253764" w:rsidRPr="00CF7C22" w:rsidP="00253764" w14:paraId="5FB37B8A" w14:textId="77777777">
      <w:pPr>
        <w:pStyle w:val="Bodytext2"/>
        <w:rPr>
          <w:lang w:val="fi-FI"/>
        </w:rPr>
      </w:pPr>
    </w:p>
    <w:p w:rsidR="00253764" w:rsidRPr="00253764" w:rsidP="00253764" w14:paraId="2BF20A4F" w14:textId="10DDCB3B">
      <w:pPr>
        <w:pStyle w:val="Bodytext2"/>
        <w:rPr>
          <w:lang w:val="fi-FI"/>
        </w:rPr>
      </w:pPr>
      <w:r w:rsidRPr="00253764">
        <w:rPr>
          <w:lang w:val="fi-FI"/>
        </w:rPr>
        <w:t xml:space="preserve">Valuuttatermiinit on tehty transaktioriskien suojaamiseksi ja ne on kohdistettu suojattuihin kassavirtoihin. Koronvaihtosopimukset ovat euromääräisiä ja keskimääräinen juoksuaika ulkopuolisille sopimuksille on </w:t>
      </w:r>
      <w:r>
        <w:rPr>
          <w:lang w:val="fi-FI"/>
        </w:rPr>
        <w:t>59</w:t>
      </w:r>
      <w:r w:rsidRPr="00253764">
        <w:rPr>
          <w:lang w:val="fi-FI"/>
        </w:rPr>
        <w:t xml:space="preserve"> (</w:t>
      </w:r>
      <w:r>
        <w:rPr>
          <w:lang w:val="fi-FI"/>
        </w:rPr>
        <w:t>69</w:t>
      </w:r>
      <w:r w:rsidRPr="00253764">
        <w:rPr>
          <w:lang w:val="fi-FI"/>
        </w:rPr>
        <w:t xml:space="preserve">) kuukautta ja </w:t>
      </w:r>
      <w:r>
        <w:rPr>
          <w:lang w:val="fi-FI"/>
        </w:rPr>
        <w:t>125</w:t>
      </w:r>
      <w:r w:rsidRPr="00253764">
        <w:rPr>
          <w:lang w:val="fi-FI"/>
        </w:rPr>
        <w:t xml:space="preserve"> kuukautta</w:t>
      </w:r>
      <w:r>
        <w:rPr>
          <w:lang w:val="fi-FI"/>
        </w:rPr>
        <w:t xml:space="preserve"> (137)</w:t>
      </w:r>
      <w:r w:rsidRPr="00253764">
        <w:rPr>
          <w:lang w:val="fi-FI"/>
        </w:rPr>
        <w:t xml:space="preserve"> sisäi</w:t>
      </w:r>
      <w:r w:rsidRPr="00253764">
        <w:rPr>
          <w:lang w:val="fi-FI"/>
        </w:rPr>
        <w:t xml:space="preserve">sille sopimuksille. Koron- ja valuutanvaihtosopimusten keskimääräinen juoksuaika on </w:t>
      </w:r>
      <w:r>
        <w:rPr>
          <w:lang w:val="fi-FI"/>
        </w:rPr>
        <w:t>30</w:t>
      </w:r>
      <w:r w:rsidRPr="00253764">
        <w:rPr>
          <w:lang w:val="fi-FI"/>
        </w:rPr>
        <w:t xml:space="preserve"> (</w:t>
      </w:r>
      <w:r>
        <w:rPr>
          <w:lang w:val="fi-FI"/>
        </w:rPr>
        <w:t>41</w:t>
      </w:r>
      <w:r w:rsidRPr="00253764">
        <w:rPr>
          <w:lang w:val="fi-FI"/>
        </w:rPr>
        <w:t>) kuukautta.</w:t>
      </w:r>
    </w:p>
    <w:p w:rsidR="004A0DF2" w:rsidP="00040FD4" w14:textId="49B4F85E">
      <w:pPr>
        <w:pStyle w:val="Heading11"/>
        <w:rPr>
          <w:lang w:val="fi-FI"/>
        </w:rPr>
      </w:pPr>
      <w:bookmarkStart w:id="1193" w:name="RG_MARKER_4577"/>
      <w:r>
        <w:rPr>
          <w:lang w:val="fi-FI"/>
        </w:rPr>
        <w:t>16. RAHOITUSRISKIT</w:t>
      </w:r>
      <w:bookmarkEnd w:id="1193"/>
    </w:p>
    <w:p w:rsidR="00040FD4" w:rsidRPr="00040FD4" w:rsidP="00040FD4" w14:paraId="70E4BDCD" w14:textId="77777777">
      <w:pPr>
        <w:pStyle w:val="Heading12"/>
        <w:rPr>
          <w:lang w:val="fi-FI"/>
        </w:rPr>
      </w:pPr>
      <w:r w:rsidRPr="00040FD4">
        <w:rPr>
          <w:lang w:val="fi-FI"/>
        </w:rPr>
        <w:t>Yleistä</w:t>
      </w:r>
    </w:p>
    <w:p w:rsidR="00040FD4" w:rsidRPr="00040FD4" w:rsidP="00040FD4" w14:paraId="125264FA" w14:textId="77777777">
      <w:pPr>
        <w:pStyle w:val="Bodytext2"/>
        <w:rPr>
          <w:lang w:val="fi-FI"/>
        </w:rPr>
      </w:pPr>
      <w:r w:rsidRPr="00040FD4">
        <w:rPr>
          <w:lang w:val="fi-FI"/>
        </w:rPr>
        <w:t xml:space="preserve">Konsernin keskitetyllä rahoitustoiminnolla on kaksi päätehtävää: hankkia riittävästi rahoitusta konsernin tarpeisiin kilpailukykyisellä hinnalla, ja tunnistaa ja arvioida konsernin rahoitusriskit sekä tehdä </w:t>
      </w:r>
      <w:r w:rsidRPr="00040FD4">
        <w:rPr>
          <w:lang w:val="fi-FI"/>
        </w:rPr>
        <w:t>konserniyhtiöiden tarvitsemat suojaukset. Konsernirahoitus on osa emoyhtiön organisaatiota.</w:t>
      </w:r>
    </w:p>
    <w:p w:rsidR="00040FD4" w:rsidRPr="00040FD4" w:rsidP="00040FD4" w14:paraId="7DF875E7" w14:textId="6A0ED989">
      <w:pPr>
        <w:pStyle w:val="Bodytext2"/>
        <w:rPr>
          <w:lang w:val="fi-FI"/>
        </w:rPr>
      </w:pPr>
      <w:r w:rsidRPr="00040FD4">
        <w:rPr>
          <w:lang w:val="fi-FI"/>
        </w:rPr>
        <w:t xml:space="preserve">Rahoitusriskien hallinta on kuvattu yksityiskohtaisesti konsernitilinpäätöksen liitetiedossa </w:t>
      </w:r>
      <w:r>
        <w:rPr>
          <w:lang w:val="fi-FI"/>
        </w:rPr>
        <w:t>5.8</w:t>
      </w:r>
      <w:r w:rsidRPr="00040FD4">
        <w:rPr>
          <w:lang w:val="fi-FI"/>
        </w:rPr>
        <w:t>. Konsernin maksuvalmius- ja korkoriskejä hallitaan emoyhtiön tasoll</w:t>
      </w:r>
      <w:r w:rsidRPr="00040FD4">
        <w:rPr>
          <w:lang w:val="fi-FI"/>
        </w:rPr>
        <w:t>a, ja siten ne soveltuvat myös emoyhtiöön.</w:t>
      </w:r>
    </w:p>
    <w:p w:rsidR="00040FD4" w:rsidP="00040FD4" w14:paraId="78B29932" w14:textId="77777777">
      <w:pPr>
        <w:pStyle w:val="Bodytext2"/>
        <w:rPr>
          <w:lang w:val="fi-FI"/>
        </w:rPr>
      </w:pPr>
    </w:p>
    <w:p w:rsidR="00040FD4" w:rsidRPr="00040FD4" w:rsidP="00040FD4" w14:paraId="3FD009C4" w14:textId="25F9BC1E">
      <w:pPr>
        <w:pStyle w:val="Heading12"/>
        <w:rPr>
          <w:lang w:val="fi-FI"/>
        </w:rPr>
      </w:pPr>
      <w:r w:rsidRPr="00040FD4">
        <w:rPr>
          <w:lang w:val="fi-FI"/>
        </w:rPr>
        <w:t>Valuuttariski</w:t>
      </w:r>
    </w:p>
    <w:p w:rsidR="00040FD4" w:rsidRPr="00040FD4" w:rsidP="00040FD4" w14:paraId="402781ED" w14:textId="2B137EF1">
      <w:pPr>
        <w:pStyle w:val="Bodytext2"/>
        <w:rPr>
          <w:lang w:val="fi-FI"/>
        </w:rPr>
      </w:pPr>
      <w:r w:rsidRPr="00040FD4">
        <w:rPr>
          <w:lang w:val="fi-FI"/>
        </w:rPr>
        <w:t>Operatiivisia valuuttariskejä seurataan ja ne suojataan tytäryritystasolla. Konsernirahoitus toimii vastapuolena näissä suojauksissa, mikäli paikalliset säännökset sallivat sen. Jotta konsernin sisä</w:t>
      </w:r>
      <w:r w:rsidRPr="00040FD4">
        <w:rPr>
          <w:lang w:val="fi-FI"/>
        </w:rPr>
        <w:t xml:space="preserve">iset valuuttavirrat voitaisiin netottaa sekä vähentää ulkoisten liiketoimien määrää, konsernirahoituksella on sallittu olevan vähäisiä avoimia </w:t>
      </w:r>
      <w:r w:rsidRPr="00040FD4">
        <w:rPr>
          <w:lang w:val="fi-FI"/>
        </w:rPr>
        <w:t>valuttariskejä</w:t>
      </w:r>
      <w:r w:rsidRPr="00040FD4">
        <w:rPr>
          <w:lang w:val="fi-FI"/>
        </w:rPr>
        <w:t>. Konsernirahoituksen kaikki voitot / tappiot kirjataan suoraan rahoituseriin, emmekä odota merkitt</w:t>
      </w:r>
      <w:r w:rsidRPr="00040FD4">
        <w:rPr>
          <w:lang w:val="fi-FI"/>
        </w:rPr>
        <w:t>äviä valuuttakurssivoittoja tai -tappioita konsernin rahoitustoiminnasta.</w:t>
      </w:r>
    </w:p>
    <w:p/>
    <w:p w:rsidR="00F931E6" w:rsidRPr="00F931E6" w:rsidP="00F931E6" w14:paraId="0A1CD72B" w14:textId="16DAD78A">
      <w:pPr>
        <w:pStyle w:val="Heading11"/>
        <w:rPr>
          <w:lang w:val="fi-FI"/>
        </w:rPr>
      </w:pPr>
      <w:bookmarkStart w:id="1194" w:name="RG_MARKER_4578"/>
      <w:r w:rsidRPr="00F931E6">
        <w:rPr>
          <w:lang w:val="fi-FI"/>
        </w:rPr>
        <w:t>17. ANNETUT VAKUUDET, VASTUUSITOUMUKSET JA MUUT VAST</w:t>
      </w:r>
      <w:bookmarkEnd w:id="1194"/>
      <w:r>
        <w:rPr>
          <w:lang w:val="fi-FI"/>
        </w:rPr>
        <w:t>UUT</w:t>
      </w:r>
    </w:p>
    <w:tbl>
      <w:tblPr>
        <w:tblStyle w:val="TableNormal"/>
        <w:tblCaption w:val="parent_17"/>
        <w:tblDescription w:val="17. Annetut vakuudet, vastuusitoumukset ja muut vastuut"/>
        <w:tblW w:w="7365" w:type="dxa"/>
        <w:tblLayout w:type="fixed"/>
        <w:tblLook w:val="0600"/>
      </w:tblPr>
      <w:tblGrid>
        <w:gridCol w:w="4185"/>
        <w:gridCol w:w="1590"/>
        <w:gridCol w:w="1590"/>
      </w:tblGrid>
      <w:tr>
        <w:tblPrEx>
          <w:tblW w:w="7365" w:type="dxa"/>
          <w:tblLayout w:type="fixed"/>
          <w:tblLook w:val="0600"/>
        </w:tblPrEx>
        <w:trPr>
          <w:trHeight w:val="240"/>
        </w:trPr>
        <w:tc>
          <w:tcPr>
            <w:tcW w:w="418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MEUR</w:t>
            </w:r>
          </w:p>
        </w:tc>
        <w:tc>
          <w:tcPr>
            <w:tcW w:w="159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Takaukset ja vastuusitoumukset</w:t>
            </w: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Samaan konserniin kuuluvien yritysten puolesta</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2 889</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2 773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2 889</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2 773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8" w:space="0" w:color="0F172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4" w:space="0" w:color="004A6B"/>
              <w:left w:val="nil"/>
              <w:bottom w:val="single" w:sz="4" w:space="0" w:color="004A6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Leasingvuokrasopimusten mukaisten vuokrien nimellisarvot</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Seuraavan vuoden aikana maksettavat</w:t>
            </w:r>
          </w:p>
        </w:tc>
        <w:tc>
          <w:tcPr>
            <w:tcW w:w="1590" w:type="dxa"/>
            <w:tcBorders>
              <w:top w:val="single" w:sz="4" w:space="0" w:color="004A6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4</w:t>
            </w: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4</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Myöhemmin maksettavat</w:t>
            </w:r>
          </w:p>
        </w:tc>
        <w:tc>
          <w:tcPr>
            <w:tcW w:w="1590" w:type="dxa"/>
            <w:tcBorders>
              <w:top w:val="single" w:sz="4" w:space="0" w:color="004A6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26</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29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30</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33</w:t>
            </w:r>
          </w:p>
        </w:tc>
      </w:tr>
    </w:tbl>
    <w:p w:rsidR="004A0DF2" w:rsidRPr="00C47245" w:rsidP="00F931E6" w14:textId="659721A8">
      <w:pPr>
        <w:pStyle w:val="Bodytext2"/>
        <w:rPr>
          <w:sz w:val="2"/>
          <w:szCs w:val="2"/>
          <w:lang w:val="fi-FI"/>
        </w:rPr>
      </w:pPr>
      <w:r w:rsidRPr="00C47245">
        <w:rPr>
          <w:sz w:val="2"/>
          <w:szCs w:val="2"/>
          <w:lang w:val="fi-FI"/>
        </w:rPr>
        <w:br w:type="column"/>
      </w:r>
    </w:p>
    <w:p w:rsidR="004A0DF2" w:rsidP="004C619D" w14:textId="72A2A722">
      <w:pPr>
        <w:pStyle w:val="Heading11"/>
        <w:rPr>
          <w:lang w:val="fi-FI"/>
        </w:rPr>
      </w:pPr>
      <w:bookmarkStart w:id="1195" w:name="RG_MARKER_4579"/>
      <w:r>
        <w:rPr>
          <w:lang w:val="fi-FI"/>
        </w:rPr>
        <w:t>18. LÄHIPIIRILAINAT JA MUUT SITOUMUKSET</w:t>
      </w:r>
      <w:bookmarkEnd w:id="1195"/>
    </w:p>
    <w:p w:rsidR="004C619D" w:rsidRPr="004C619D" w:rsidP="002642EE" w14:paraId="64F2AFEC" w14:textId="766B01B2">
      <w:pPr>
        <w:pStyle w:val="Bodytext2"/>
        <w:rPr>
          <w:lang w:val="fi-FI"/>
        </w:rPr>
      </w:pPr>
      <w:r w:rsidRPr="004C619D">
        <w:rPr>
          <w:lang w:val="fi-FI"/>
        </w:rPr>
        <w:t xml:space="preserve">Konsernin johdolta ja hallituksen jäseniltä ei ole lainasaamisia. Johdon ja osakkaiden puolesta ei ole annettu pantteja tai muita vastuita. Konserniliitetiedossa </w:t>
      </w:r>
      <w:r>
        <w:rPr>
          <w:lang w:val="fi-FI"/>
        </w:rPr>
        <w:t>7.2.</w:t>
      </w:r>
      <w:r w:rsidRPr="004C619D">
        <w:rPr>
          <w:lang w:val="fi-FI"/>
        </w:rPr>
        <w:t xml:space="preserve"> on eritelty lähipiiritapahtumat. Lähipiiriin kuuluvat hallituksen jäsenet, toimitusjohtaj</w:t>
      </w:r>
      <w:r w:rsidRPr="004C619D">
        <w:rPr>
          <w:lang w:val="fi-FI"/>
        </w:rPr>
        <w:t>a ja johtokunnan jäsenet sekä osakkuus- ja yhteisyritykset. Emoyhtiön liitetiedoissa 8. ja 13. on eritelty tytäryhtiöiden saamiset ja lainat.</w:t>
      </w:r>
    </w:p>
    <w:p/>
    <w:p w:rsidR="00DB28E9" w:rsidRPr="00DB28E9" w:rsidP="00DB28E9" w14:paraId="5B9FFE68" w14:textId="1151DFD3">
      <w:pPr>
        <w:pStyle w:val="Heading11"/>
        <w:rPr>
          <w:rFonts w:eastAsiaTheme="minorEastAsia" w:cstheme="minorHAnsi"/>
          <w:lang w:val="fi-FI" w:eastAsia="fi-FI"/>
        </w:rPr>
      </w:pPr>
      <w:bookmarkStart w:id="1196" w:name="RG_MARKER_4580"/>
      <w:r w:rsidRPr="00DB28E9">
        <w:rPr>
          <w:lang w:val="fi-FI"/>
        </w:rPr>
        <w:t>19. TILINTARKASTAJIEN PALKKIOT</w:t>
      </w:r>
      <w:bookmarkEnd w:id="1196"/>
    </w:p>
    <w:p w:rsidR="00DB28E9" w:rsidRPr="00DB28E9" w:rsidP="00DB28E9" w14:paraId="118C0970" w14:textId="77777777">
      <w:pPr>
        <w:pStyle w:val="Bodytext2"/>
        <w:rPr>
          <w:lang w:val="fi-FI"/>
        </w:rPr>
      </w:pPr>
      <w:r w:rsidRPr="00DB28E9">
        <w:rPr>
          <w:lang w:val="fi-FI"/>
        </w:rPr>
        <w:t>Seuraavat palkkiot maksettiin tilintarkastajille ja tilintarkastustoimistolle lakisääteisistä tarkastuksista sekä palveluista.</w:t>
      </w:r>
    </w:p>
    <w:p w:rsidR="00DB28E9" w:rsidP="00DB28E9" w14:paraId="590EE0B7" w14:textId="77777777">
      <w:pPr>
        <w:pStyle w:val="Bodytext2"/>
        <w:rPr>
          <w:lang w:val="fi-FI"/>
        </w:rPr>
      </w:pPr>
    </w:p>
    <w:p w:rsidR="00DB28E9" w:rsidRPr="00DB28E9" w:rsidP="00DB28E9" w14:paraId="395E30AD" w14:textId="7C83E00D">
      <w:pPr>
        <w:pStyle w:val="Bodytext2"/>
        <w:rPr>
          <w:lang w:val="fi-FI"/>
        </w:rPr>
      </w:pPr>
      <w:r w:rsidRPr="00DB28E9">
        <w:rPr>
          <w:lang w:val="fi-FI"/>
        </w:rPr>
        <w:t>Vuonna 20</w:t>
      </w:r>
      <w:r>
        <w:rPr>
          <w:lang w:val="fi-FI"/>
        </w:rPr>
        <w:t>20</w:t>
      </w:r>
      <w:r w:rsidRPr="00DB28E9">
        <w:rPr>
          <w:lang w:val="fi-FI"/>
        </w:rPr>
        <w:t xml:space="preserve"> yhtiökokous valitsi Wärtsilä Oyj Abp:n</w:t>
      </w:r>
      <w:r w:rsidRPr="00DB28E9">
        <w:rPr>
          <w:lang w:val="fi-FI"/>
        </w:rPr>
        <w:t xml:space="preserve"> tilintarkastajaksi tilintarkastusyhteisön PricewaterhouseCoopers Oy.</w:t>
      </w:r>
    </w:p>
    <w:p w:rsidR="00DB28E9" w:rsidRPr="007C7ADA" w:rsidP="00DB28E9" w14:paraId="0E7EF6F2" w14:textId="77777777">
      <w:pPr>
        <w:pStyle w:val="Bodytext2"/>
        <w:rPr>
          <w:lang w:val="fi-FI"/>
        </w:rPr>
      </w:pPr>
    </w:p>
    <w:p w:rsidR="00DB28E9" w:rsidP="00DB28E9" w14:paraId="7D422220" w14:textId="4FDAB43D">
      <w:pPr>
        <w:pStyle w:val="Heading12"/>
      </w:pPr>
      <w:r>
        <w:t>Tilintarkastajien palkkiot</w:t>
      </w:r>
    </w:p>
    <w:p w:rsidR="00B6179A" w:rsidP="00DB28E9" w14:paraId="02D8AF72" w14:textId="77777777">
      <w:pPr>
        <w:pStyle w:val="Bodytext2"/>
      </w:pPr>
    </w:p>
    <w:tbl>
      <w:tblPr>
        <w:tblStyle w:val="TableNormal"/>
        <w:tblCaption w:val="parent_19"/>
        <w:tblDescription w:val="19. Tilintarkastajien palkkiot"/>
        <w:tblW w:w="7365" w:type="dxa"/>
        <w:tblLayout w:type="fixed"/>
        <w:tblLook w:val="0600"/>
      </w:tblPr>
      <w:tblGrid>
        <w:gridCol w:w="4185"/>
        <w:gridCol w:w="1590"/>
        <w:gridCol w:w="1590"/>
      </w:tblGrid>
      <w:tr>
        <w:tblPrEx>
          <w:tblW w:w="7365" w:type="dxa"/>
          <w:tblLayout w:type="fixed"/>
          <w:tblLook w:val="0600"/>
        </w:tblPrEx>
        <w:trPr>
          <w:trHeight w:val="240"/>
        </w:trPr>
        <w:tc>
          <w:tcPr>
            <w:tcW w:w="4185"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TEUR</w:t>
            </w:r>
          </w:p>
        </w:tc>
        <w:tc>
          <w:tcPr>
            <w:tcW w:w="1590" w:type="dxa"/>
            <w:tcBorders>
              <w:top w:val="nil"/>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2020</w:t>
            </w:r>
          </w:p>
        </w:tc>
        <w:tc>
          <w:tcPr>
            <w:tcW w:w="1590" w:type="dxa"/>
            <w:tcBorders>
              <w:top w:val="nil"/>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2019</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Tilintarkastus</w:t>
            </w:r>
          </w:p>
        </w:tc>
        <w:tc>
          <w:tcPr>
            <w:tcW w:w="1590" w:type="dxa"/>
            <w:tcBorders>
              <w:top w:val="single" w:sz="8" w:space="0" w:color="0F172B"/>
              <w:left w:val="nil"/>
              <w:bottom w:val="single" w:sz="4" w:space="0" w:color="004A6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341</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583</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Veroneuvonta</w:t>
            </w:r>
          </w:p>
        </w:tc>
        <w:tc>
          <w:tcPr>
            <w:tcW w:w="1590" w:type="dxa"/>
            <w:tcBorders>
              <w:top w:val="single" w:sz="4" w:space="0" w:color="004A6B"/>
              <w:left w:val="nil"/>
              <w:bottom w:val="single" w:sz="4" w:space="0" w:color="004A6B"/>
              <w:right w:val="nil"/>
              <w:tl2br w:val="nil"/>
              <w:tr2bl w:val="nil"/>
            </w:tcBorders>
            <w:shd w:val="clear" w:color="FFFFFF" w:fill="EBEBEB"/>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p>
        </w:tc>
        <w:tc>
          <w:tcPr>
            <w:tcW w:w="1590" w:type="dxa"/>
            <w:tcBorders>
              <w:top w:val="single" w:sz="4" w:space="0" w:color="004A6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val="240"/>
        </w:trPr>
        <w:tc>
          <w:tcPr>
            <w:tcW w:w="4185"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Muut palvelut</w:t>
            </w:r>
          </w:p>
        </w:tc>
        <w:tc>
          <w:tcPr>
            <w:tcW w:w="1590" w:type="dxa"/>
            <w:tcBorders>
              <w:top w:val="single" w:sz="4" w:space="0" w:color="004A6B"/>
              <w:left w:val="nil"/>
              <w:bottom w:val="single" w:sz="8" w:space="0" w:color="0F172B"/>
              <w:right w:val="nil"/>
              <w:tl2br w:val="nil"/>
              <w:tr2bl w:val="nil"/>
            </w:tcBorders>
            <w:shd w:val="clear" w:color="FFFFFF" w:fill="EBEBEB"/>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14</w:t>
            </w:r>
          </w:p>
        </w:tc>
        <w:tc>
          <w:tcPr>
            <w:tcW w:w="1590" w:type="dxa"/>
            <w:tcBorders>
              <w:top w:val="single" w:sz="4" w:space="0" w:color="004A6B"/>
              <w:left w:val="nil"/>
              <w:bottom w:val="single" w:sz="8" w:space="0" w:color="0F172B"/>
              <w:right w:val="nil"/>
              <w:tl2br w:val="nil"/>
              <w:tr2bl w:val="nil"/>
            </w:tcBorders>
            <w:shd w:val="clear" w:color="auto" w:fill="auto"/>
            <w:noWrap w:val="0"/>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111</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240"/>
        </w:trPr>
        <w:tc>
          <w:tcPr>
            <w:tcW w:w="4185"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Yhteensä</w:t>
            </w:r>
          </w:p>
        </w:tc>
        <w:tc>
          <w:tcPr>
            <w:tcW w:w="1590" w:type="dxa"/>
            <w:tcBorders>
              <w:top w:val="single" w:sz="8" w:space="0" w:color="0F172B"/>
              <w:left w:val="nil"/>
              <w:bottom w:val="single" w:sz="8" w:space="0" w:color="0F172B"/>
              <w:right w:val="nil"/>
              <w:tl2br w:val="nil"/>
              <w:tr2bl w:val="nil"/>
            </w:tcBorders>
            <w:shd w:val="clear" w:color="FFFFFF" w:fill="EBEBEB"/>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355</w:t>
            </w:r>
          </w:p>
        </w:tc>
        <w:tc>
          <w:tcPr>
            <w:tcW w:w="1590" w:type="dxa"/>
            <w:tcBorders>
              <w:top w:val="single" w:sz="8" w:space="0" w:color="0F172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705</w:t>
            </w:r>
          </w:p>
        </w:tc>
      </w:tr>
    </w:tbl>
    <w:p w:rsidR="007F6214" w:rsidRPr="007F6214" w:rsidP="007F6214" w14:paraId="4848B543" w14:textId="77777777">
      <w:pPr>
        <w:pStyle w:val="Heading10"/>
        <w:pageBreakBefore/>
        <w:rPr>
          <w:lang w:val="fi-FI"/>
        </w:rPr>
      </w:pPr>
      <w:bookmarkStart w:id="1197" w:name="RG_MARKER_4581"/>
      <w:r w:rsidRPr="007F6214">
        <w:rPr>
          <w:lang w:val="fi-FI"/>
        </w:rPr>
        <w:t>HALLITUKSEN EHDOTUS</w:t>
      </w:r>
      <w:bookmarkEnd w:id="1197"/>
    </w:p>
    <w:p w:rsidR="007F6214" w:rsidRPr="00F15C4F" w:rsidP="007F6214" w14:paraId="285EB36B" w14:textId="6A70A9AB">
      <w:pPr>
        <w:pStyle w:val="Bodytext2"/>
        <w:rPr>
          <w:lang w:val="fi-FI"/>
        </w:rPr>
      </w:pPr>
      <w:r w:rsidRPr="00F15C4F">
        <w:rPr>
          <w:lang w:val="fi-FI"/>
        </w:rPr>
        <w:t>Emoyhtiön voitonjakokelpoiset varat ovat 9</w:t>
      </w:r>
      <w:r>
        <w:rPr>
          <w:lang w:val="fi-FI"/>
        </w:rPr>
        <w:t>74</w:t>
      </w:r>
      <w:r w:rsidRPr="00F15C4F">
        <w:rPr>
          <w:lang w:val="fi-FI"/>
        </w:rPr>
        <w:t>.</w:t>
      </w:r>
      <w:r>
        <w:rPr>
          <w:lang w:val="fi-FI"/>
        </w:rPr>
        <w:t>008</w:t>
      </w:r>
      <w:r w:rsidRPr="00F15C4F">
        <w:rPr>
          <w:lang w:val="fi-FI"/>
        </w:rPr>
        <w:t>.</w:t>
      </w:r>
      <w:r>
        <w:rPr>
          <w:lang w:val="fi-FI"/>
        </w:rPr>
        <w:t>736</w:t>
      </w:r>
      <w:r w:rsidRPr="00F15C4F">
        <w:rPr>
          <w:lang w:val="fi-FI"/>
        </w:rPr>
        <w:t>,</w:t>
      </w:r>
      <w:r>
        <w:rPr>
          <w:lang w:val="fi-FI"/>
        </w:rPr>
        <w:t>28</w:t>
      </w:r>
      <w:r w:rsidRPr="00F15C4F">
        <w:rPr>
          <w:lang w:val="fi-FI"/>
        </w:rPr>
        <w:t xml:space="preserve"> euroa, josta tilikauden voitto on 2</w:t>
      </w:r>
      <w:r>
        <w:rPr>
          <w:lang w:val="fi-FI"/>
        </w:rPr>
        <w:t>64</w:t>
      </w:r>
      <w:r w:rsidRPr="00F15C4F">
        <w:rPr>
          <w:lang w:val="fi-FI"/>
        </w:rPr>
        <w:t>.</w:t>
      </w:r>
      <w:r>
        <w:rPr>
          <w:lang w:val="fi-FI"/>
        </w:rPr>
        <w:t>838</w:t>
      </w:r>
      <w:r w:rsidRPr="00F15C4F">
        <w:rPr>
          <w:lang w:val="fi-FI"/>
        </w:rPr>
        <w:t>.</w:t>
      </w:r>
      <w:r>
        <w:rPr>
          <w:lang w:val="fi-FI"/>
        </w:rPr>
        <w:t>387</w:t>
      </w:r>
      <w:r w:rsidRPr="00F15C4F">
        <w:rPr>
          <w:lang w:val="fi-FI"/>
        </w:rPr>
        <w:t>,7</w:t>
      </w:r>
      <w:r>
        <w:rPr>
          <w:lang w:val="fi-FI"/>
        </w:rPr>
        <w:t>2</w:t>
      </w:r>
      <w:r w:rsidRPr="00F15C4F">
        <w:rPr>
          <w:lang w:val="fi-FI"/>
        </w:rPr>
        <w:t xml:space="preserve"> euroa. Osinkoon oikeuttavia osakkeita on 591.723.390 kappaletta.</w:t>
      </w:r>
    </w:p>
    <w:p w:rsidR="007F6214" w:rsidRPr="00F15C4F" w:rsidP="007F6214" w14:paraId="5415CECF" w14:textId="77777777">
      <w:pPr>
        <w:pStyle w:val="Bodytext2"/>
        <w:rPr>
          <w:lang w:val="fi-FI"/>
        </w:rPr>
      </w:pPr>
    </w:p>
    <w:p w:rsidR="007F6214" w:rsidRPr="00F15C4F" w:rsidP="007F6214" w14:paraId="63ABCB37" w14:textId="77777777">
      <w:pPr>
        <w:pStyle w:val="Bodytext2"/>
        <w:rPr>
          <w:lang w:val="fi-FI"/>
        </w:rPr>
      </w:pPr>
      <w:r w:rsidRPr="00F15C4F">
        <w:rPr>
          <w:lang w:val="fi-FI"/>
        </w:rPr>
        <w:t>Hallitus ehdottaa yhtiökokoukselle, että voitonjakokelpoiset varat käytetään seuraavasti:</w:t>
      </w:r>
    </w:p>
    <w:p w:rsidR="007F6214" w:rsidP="007F6214" w14:paraId="509FEC06" w14:textId="4BD118C4">
      <w:pPr>
        <w:pStyle w:val="Bodytext2"/>
        <w:rPr>
          <w:lang w:val="fi-FI"/>
        </w:rPr>
      </w:pPr>
    </w:p>
    <w:tbl>
      <w:tblPr>
        <w:tblStyle w:val="TableNormal"/>
        <w:tblCaption w:val="Hallituksen_ehdotus"/>
        <w:tblW w:w="7365" w:type="dxa"/>
        <w:tblLayout w:type="fixed"/>
        <w:tblLook w:val="0600"/>
      </w:tblPr>
      <w:tblGrid>
        <w:gridCol w:w="5775"/>
        <w:gridCol w:w="1590"/>
      </w:tblGrid>
      <w:tr>
        <w:tblPrEx>
          <w:tblW w:w="7365" w:type="dxa"/>
          <w:tblLayout w:type="fixed"/>
          <w:tblLook w:val="0600"/>
        </w:tblPrEx>
        <w:trPr>
          <w:trHeight w:hRule="exact" w:val="315"/>
        </w:trPr>
        <w:tc>
          <w:tcPr>
            <w:tcW w:w="5775" w:type="dxa"/>
            <w:tcBorders>
              <w:top w:val="nil"/>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i w:val="0"/>
                <w:strike w:val="0"/>
                <w:color w:val="000000"/>
                <w:sz w:val="13"/>
                <w:u w:val="none"/>
                <w:vertAlign w:val="baseline"/>
              </w:rPr>
            </w:pPr>
            <w:r>
              <w:rPr>
                <w:rFonts w:ascii="Arial" w:eastAsia="Arial" w:hAnsi="Arial" w:cs="Arial"/>
                <w:b/>
                <w:i w:val="0"/>
                <w:strike w:val="0"/>
                <w:color w:val="000000"/>
                <w:sz w:val="13"/>
                <w:u w:val="none"/>
                <w:vertAlign w:val="baseline"/>
              </w:rPr>
              <w:t>EUR</w:t>
            </w:r>
          </w:p>
        </w:tc>
        <w:tc>
          <w:tcPr>
            <w:tcW w:w="1590" w:type="dxa"/>
            <w:tcBorders>
              <w:top w:val="nil"/>
              <w:left w:val="nil"/>
              <w:bottom w:val="single" w:sz="8" w:space="0" w:color="0F172B"/>
              <w:right w:val="nil"/>
              <w:tl2br w:val="nil"/>
              <w:tr2bl w:val="nil"/>
            </w:tcBorders>
            <w:shd w:val="clear" w:color="auto" w:fill="auto"/>
            <w:noWrap/>
            <w:tcMar>
              <w:left w:w="0" w:type="dxa"/>
              <w:right w:w="0" w:type="dxa"/>
            </w:tcMar>
            <w:textDirection w:val="lrTb"/>
            <w:tcFitText w:val="0"/>
            <w:vAlign w:val="bottom"/>
          </w:tcPr>
          <w:p>
            <w:pPr>
              <w:bidi w:val="0"/>
              <w:spacing w:before="0" w:beforeAutospacing="0" w:after="0" w:afterAutospacing="0" w:line="240" w:lineRule="auto"/>
              <w:jc w:val="right"/>
              <w:rPr>
                <w:rFonts w:ascii="Arial" w:eastAsia="Arial" w:hAnsi="Arial" w:cs="Arial"/>
                <w:b/>
                <w:i w:val="0"/>
                <w:strike w:val="0"/>
                <w:color w:val="000000"/>
                <w:sz w:val="16"/>
                <w:u w:val="none"/>
                <w:vertAlign w:val="baseline"/>
              </w:rPr>
            </w:pP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300"/>
        </w:trPr>
        <w:tc>
          <w:tcPr>
            <w:tcW w:w="5775" w:type="dxa"/>
            <w:tcBorders>
              <w:top w:val="single" w:sz="8" w:space="0" w:color="0F172B"/>
              <w:left w:val="nil"/>
              <w:bottom w:val="single" w:sz="4" w:space="0" w:color="004A6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Osinkona jaetaan 0,20 euroa/osake eli yhteensä</w:t>
            </w:r>
          </w:p>
        </w:tc>
        <w:tc>
          <w:tcPr>
            <w:tcW w:w="1590" w:type="dxa"/>
            <w:tcBorders>
              <w:top w:val="single" w:sz="8" w:space="0" w:color="0F172B"/>
              <w:left w:val="nil"/>
              <w:bottom w:val="single" w:sz="4" w:space="0" w:color="004A6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118 344 678,00</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315"/>
        </w:trPr>
        <w:tc>
          <w:tcPr>
            <w:tcW w:w="5775" w:type="dxa"/>
            <w:tcBorders>
              <w:top w:val="single" w:sz="4" w:space="0" w:color="004A6B"/>
              <w:left w:val="nil"/>
              <w:bottom w:val="single" w:sz="8" w:space="0" w:color="0F172B"/>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Jätetään omaan pääomaan</w:t>
            </w:r>
          </w:p>
        </w:tc>
        <w:tc>
          <w:tcPr>
            <w:tcW w:w="1590" w:type="dxa"/>
            <w:tcBorders>
              <w:top w:val="single" w:sz="4" w:space="0" w:color="004A6B"/>
              <w:left w:val="nil"/>
              <w:bottom w:val="single" w:sz="8" w:space="0" w:color="0F172B"/>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855 664 058,28</w:t>
            </w:r>
          </w:p>
        </w:tc>
      </w:tr>
      <w:tr>
        <w:tblPrEx>
          <w:tblW w:w="7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600"/>
        </w:tblPrEx>
        <w:trPr>
          <w:trHeight w:hRule="exact" w:val="300"/>
        </w:trPr>
        <w:tc>
          <w:tcPr>
            <w:tcW w:w="5775" w:type="dxa"/>
            <w:tcBorders>
              <w:top w:val="single" w:sz="8" w:space="0" w:color="0F172B"/>
              <w:left w:val="nil"/>
              <w:bottom w:val="nil"/>
              <w:right w:val="nil"/>
              <w:tl2br w:val="nil"/>
              <w:tr2bl w:val="nil"/>
            </w:tcBorders>
            <w:shd w:val="clear" w:color="FFFFFF" w:fill="FFFFFF"/>
            <w:noWrap/>
            <w:tcMar>
              <w:left w:w="40" w:type="dxa"/>
              <w:right w:w="40" w:type="dxa"/>
            </w:tcMar>
            <w:textDirection w:val="lrTb"/>
            <w:tcFitText w:val="0"/>
            <w:vAlign w:val="bottom"/>
          </w:tcPr>
          <w:p>
            <w:pPr>
              <w:bidi w:val="0"/>
              <w:spacing w:before="0" w:beforeAutospacing="0" w:after="0" w:afterAutospacing="0" w:line="240" w:lineRule="auto"/>
              <w:jc w:val="lef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Yhteensä</w:t>
            </w:r>
          </w:p>
        </w:tc>
        <w:tc>
          <w:tcPr>
            <w:tcW w:w="1590" w:type="dxa"/>
            <w:tcBorders>
              <w:top w:val="single" w:sz="8" w:space="0" w:color="0F172B"/>
              <w:left w:val="nil"/>
              <w:bottom w:val="nil"/>
              <w:right w:val="nil"/>
              <w:tl2br w:val="nil"/>
              <w:tr2bl w:val="nil"/>
            </w:tcBorders>
            <w:shd w:val="clear" w:color="auto" w:fill="auto"/>
            <w:noWrap/>
            <w:tcMar>
              <w:left w:w="40" w:type="dxa"/>
              <w:right w:w="40" w:type="dxa"/>
            </w:tcMar>
            <w:textDirection w:val="lrTb"/>
            <w:tcFitText w:val="0"/>
            <w:vAlign w:val="bottom"/>
          </w:tcPr>
          <w:p>
            <w:pPr>
              <w:bidi w:val="0"/>
              <w:spacing w:before="0" w:beforeAutospacing="0" w:after="0" w:afterAutospacing="0" w:line="240" w:lineRule="auto"/>
              <w:jc w:val="right"/>
              <w:rPr>
                <w:rFonts w:ascii="Arial" w:eastAsia="Arial" w:hAnsi="Arial" w:cs="Arial"/>
                <w:b w:val="0"/>
                <w:i w:val="0"/>
                <w:strike w:val="0"/>
                <w:color w:val="000000"/>
                <w:sz w:val="13"/>
                <w:u w:val="none"/>
                <w:vertAlign w:val="baseline"/>
              </w:rPr>
            </w:pPr>
            <w:r>
              <w:rPr>
                <w:rFonts w:ascii="Arial" w:eastAsia="Arial" w:hAnsi="Arial" w:cs="Arial"/>
                <w:b w:val="0"/>
                <w:i w:val="0"/>
                <w:strike w:val="0"/>
                <w:color w:val="000000"/>
                <w:sz w:val="13"/>
                <w:u w:val="none"/>
                <w:vertAlign w:val="baseline"/>
              </w:rPr>
              <w:t>974 008 736,28</w:t>
            </w:r>
          </w:p>
        </w:tc>
      </w:tr>
    </w:tbl>
    <w:p w:rsidR="007F6214" w:rsidRPr="00F15C4F" w:rsidP="007F6214" w14:paraId="6D7250D0" w14:textId="77777777">
      <w:pPr>
        <w:pStyle w:val="Bodytext2"/>
        <w:rPr>
          <w:lang w:val="fi-FI"/>
        </w:rPr>
      </w:pPr>
    </w:p>
    <w:p w:rsidR="00042899" w:rsidRPr="00042899" w:rsidP="00042899" w14:paraId="356C96F7" w14:textId="3EBCBC50">
      <w:pPr>
        <w:pStyle w:val="Bodytext2"/>
        <w:rPr>
          <w:lang w:val="fi-FI"/>
        </w:rPr>
      </w:pPr>
      <w:r w:rsidRPr="00042899">
        <w:rPr>
          <w:lang w:val="fi-FI"/>
        </w:rPr>
        <w:t>Osinko maksetaan kahdessa erässä. Ensimmäinen erä 0</w:t>
      </w:r>
      <w:r>
        <w:rPr>
          <w:lang w:val="fi-FI"/>
        </w:rPr>
        <w:t>,10</w:t>
      </w:r>
      <w:r w:rsidRPr="00042899">
        <w:rPr>
          <w:lang w:val="fi-FI"/>
        </w:rPr>
        <w:t xml:space="preserve"> euroa/osake maksetaan osakkeenomistajalle, joka on osingonmaksun täsmäytyspäivänä </w:t>
      </w:r>
      <w:r>
        <w:rPr>
          <w:lang w:val="fi-FI"/>
        </w:rPr>
        <w:t>8</w:t>
      </w:r>
      <w:r w:rsidRPr="00042899">
        <w:rPr>
          <w:lang w:val="fi-FI"/>
        </w:rPr>
        <w:t>.</w:t>
      </w:r>
      <w:r w:rsidRPr="00042899">
        <w:rPr>
          <w:lang w:val="fi-FI"/>
        </w:rPr>
        <w:t xml:space="preserve">3.2021 merkitty Euroclear Finland Oy:n pitämään osakasluetteloon. Hallitus esittää, että tämän erän osinko maksetaan </w:t>
      </w:r>
      <w:r>
        <w:rPr>
          <w:lang w:val="fi-FI"/>
        </w:rPr>
        <w:t>15</w:t>
      </w:r>
      <w:r w:rsidRPr="00042899">
        <w:rPr>
          <w:lang w:val="fi-FI"/>
        </w:rPr>
        <w:t>.3.2021.</w:t>
      </w:r>
    </w:p>
    <w:p w:rsidR="007F6214" w:rsidRPr="00F15C4F" w:rsidP="007F6214" w14:paraId="55932715" w14:textId="1D63BA31">
      <w:pPr>
        <w:pStyle w:val="Bodytext2"/>
        <w:rPr>
          <w:lang w:val="fi-FI"/>
        </w:rPr>
      </w:pPr>
    </w:p>
    <w:p w:rsidR="00042899" w:rsidRPr="00042899" w:rsidP="00042899" w14:paraId="736BBF83" w14:textId="2067E0F1">
      <w:pPr>
        <w:pStyle w:val="Bodytext2"/>
        <w:rPr>
          <w:lang w:val="fi-FI"/>
        </w:rPr>
      </w:pPr>
      <w:r w:rsidRPr="00042899">
        <w:rPr>
          <w:lang w:val="fi-FI"/>
        </w:rPr>
        <w:t>Osingon toinen erä 0,</w:t>
      </w:r>
      <w:r>
        <w:rPr>
          <w:lang w:val="fi-FI"/>
        </w:rPr>
        <w:t>10</w:t>
      </w:r>
      <w:r w:rsidRPr="00042899">
        <w:rPr>
          <w:lang w:val="fi-FI"/>
        </w:rPr>
        <w:t xml:space="preserve"> euroa/osake maksetaan syyskuussa 2021. Osingon toinen erä maksetaan osakkeenomistajalle, joka on osingo</w:t>
      </w:r>
      <w:r w:rsidRPr="00042899">
        <w:rPr>
          <w:lang w:val="fi-FI"/>
        </w:rPr>
        <w:t xml:space="preserve">nmaksun täsmäytyspäivänä merkitty Euroclear Finland Oy:n pitämään osakasluetteloon. Hallitus päättää </w:t>
      </w:r>
      <w:r>
        <w:rPr>
          <w:lang w:val="fi-FI"/>
        </w:rPr>
        <w:t>9</w:t>
      </w:r>
      <w:r w:rsidRPr="00042899">
        <w:rPr>
          <w:lang w:val="fi-FI"/>
        </w:rPr>
        <w:t>.9.2021 pidettäväksi sovitussa kokouksessaan toisen osinkoerän osingonmaksun täsmäytyspäivän ja osingonmaksupäivän. Suomalaisen arvo-osuusjärjestelmän nyk</w:t>
      </w:r>
      <w:r w:rsidRPr="00042899">
        <w:rPr>
          <w:lang w:val="fi-FI"/>
        </w:rPr>
        <w:t xml:space="preserve">yisten sääntöjen mukaisesti osingon täsmäytyspäivä olisi silloin </w:t>
      </w:r>
      <w:r>
        <w:rPr>
          <w:lang w:val="fi-FI"/>
        </w:rPr>
        <w:t>13</w:t>
      </w:r>
      <w:r w:rsidRPr="00042899">
        <w:rPr>
          <w:lang w:val="fi-FI"/>
        </w:rPr>
        <w:t xml:space="preserve">.9.2021 ja osingon maksupäivä </w:t>
      </w:r>
      <w:r>
        <w:rPr>
          <w:lang w:val="fi-FI"/>
        </w:rPr>
        <w:t>20</w:t>
      </w:r>
      <w:r w:rsidRPr="00042899">
        <w:rPr>
          <w:lang w:val="fi-FI"/>
        </w:rPr>
        <w:t>.9.2021.</w:t>
      </w:r>
    </w:p>
    <w:p w:rsidR="007F6214" w:rsidRPr="00F15C4F" w:rsidP="007F6214" w14:paraId="5B4A785B" w14:textId="77777777">
      <w:pPr>
        <w:pStyle w:val="Bodytext2"/>
        <w:rPr>
          <w:lang w:val="fi-FI"/>
        </w:rPr>
      </w:pPr>
    </w:p>
    <w:p w:rsidR="00024588" w:rsidP="007F6214" w14:paraId="3D1C500A" w14:textId="77777777">
      <w:pPr>
        <w:pStyle w:val="Bodytext2"/>
        <w:rPr>
          <w:lang w:val="fi-FI"/>
        </w:rPr>
      </w:pPr>
      <w:r w:rsidRPr="00F15C4F">
        <w:rPr>
          <w:lang w:val="fi-FI"/>
        </w:rPr>
        <w:t xml:space="preserve">Yhtiön taloudellisessa asemassa ei tilikauden päättymisen jälkeen ole tapahtunut olennaisia muutoksia. Yhtiön maksuvalmius on hyvä, eikä ehdotettu </w:t>
      </w:r>
      <w:r w:rsidRPr="00F15C4F">
        <w:rPr>
          <w:lang w:val="fi-FI"/>
        </w:rPr>
        <w:t>voitonjako vaaranna hallituksen näkemyksen mukaan yhtiön maksukykyä.</w:t>
      </w:r>
      <w:r>
        <w:rPr>
          <w:lang w:val="fi-FI"/>
        </w:rPr>
        <w:br w:type="column"/>
      </w:r>
    </w:p>
    <w:p w:rsidR="00024588" w:rsidP="007F6214" w14:paraId="24BBE2C6" w14:textId="77777777">
      <w:pPr>
        <w:pStyle w:val="Bodytext2"/>
        <w:rPr>
          <w:lang w:val="fi-FI"/>
        </w:rPr>
      </w:pPr>
    </w:p>
    <w:p w:rsidR="00024588" w:rsidRPr="00024588" w:rsidP="007F6214" w14:paraId="2E0A0383" w14:textId="77777777">
      <w:pPr>
        <w:pStyle w:val="Bodytext2"/>
        <w:rPr>
          <w:sz w:val="20"/>
          <w:szCs w:val="22"/>
          <w:lang w:val="fi-FI"/>
        </w:rPr>
      </w:pPr>
    </w:p>
    <w:p w:rsidR="007F6214" w:rsidP="007F6214" w14:paraId="7A9E36A9" w14:textId="2473DE79">
      <w:pPr>
        <w:pStyle w:val="Bodytext2"/>
        <w:rPr>
          <w:lang w:val="fi-FI"/>
        </w:rPr>
      </w:pPr>
      <w:r>
        <w:rPr>
          <w:lang w:val="fi-FI"/>
        </w:rPr>
        <w:t>H</w:t>
      </w:r>
      <w:r w:rsidRPr="00F15C4F">
        <w:rPr>
          <w:lang w:val="fi-FI"/>
        </w:rPr>
        <w:t xml:space="preserve">elsingissä </w:t>
      </w:r>
      <w:r w:rsidR="00F15C4F">
        <w:rPr>
          <w:lang w:val="fi-FI"/>
        </w:rPr>
        <w:t>27</w:t>
      </w:r>
      <w:r w:rsidRPr="00F15C4F">
        <w:rPr>
          <w:lang w:val="fi-FI"/>
        </w:rPr>
        <w:t xml:space="preserve">. päivänä </w:t>
      </w:r>
      <w:r w:rsidR="00F15C4F">
        <w:rPr>
          <w:lang w:val="fi-FI"/>
        </w:rPr>
        <w:t>tammi</w:t>
      </w:r>
      <w:r w:rsidRPr="00F15C4F">
        <w:rPr>
          <w:lang w:val="fi-FI"/>
        </w:rPr>
        <w:t>kuuta 2021</w:t>
      </w:r>
    </w:p>
    <w:p w:rsidR="00F72E60" w:rsidRPr="00F15C4F" w:rsidP="00F72E60" w14:paraId="0C2A93A3" w14:textId="77777777">
      <w:pPr>
        <w:pStyle w:val="Bodytext2"/>
        <w:spacing w:before="0"/>
        <w:rPr>
          <w:lang w:val="fi-FI"/>
        </w:rPr>
      </w:pPr>
    </w:p>
    <w:tbl>
      <w:tblPr>
        <w:tblStyle w:val="TableGrid"/>
        <w:tblpPr w:leftFromText="144" w:rightFromText="187" w:vertAnchor="text" w:horzAnchor="page" w:tblpX="8641" w:tblpY="17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85"/>
        <w:gridCol w:w="4575"/>
      </w:tblGrid>
      <w:tr w14:paraId="2BC1AB14" w14:textId="77777777" w:rsidTr="00F72E6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504"/>
        </w:trPr>
        <w:tc>
          <w:tcPr>
            <w:tcW w:w="2785" w:type="dxa"/>
          </w:tcPr>
          <w:p w:rsidR="00F72E60" w:rsidRPr="00F72E60" w:rsidP="00F72E60" w14:paraId="777ABDAD" w14:textId="70A89A44">
            <w:pPr>
              <w:pStyle w:val="Bodytext2"/>
              <w:rPr>
                <w:lang w:val="sv-FI"/>
              </w:rPr>
            </w:pPr>
            <w:r w:rsidRPr="00F72E60">
              <w:rPr>
                <w:lang w:val="sv-FI"/>
              </w:rPr>
              <w:t>Tom Johnstone</w:t>
            </w:r>
          </w:p>
        </w:tc>
        <w:tc>
          <w:tcPr>
            <w:tcW w:w="4575" w:type="dxa"/>
          </w:tcPr>
          <w:p w:rsidR="00F72E60" w:rsidRPr="00F72E60" w:rsidP="00F72E60" w14:paraId="3ACB7E86" w14:textId="1FABDB53">
            <w:pPr>
              <w:pStyle w:val="Bodytext2"/>
              <w:rPr>
                <w:lang w:val="sv-FI"/>
              </w:rPr>
            </w:pPr>
            <w:r w:rsidRPr="00F72E60">
              <w:rPr>
                <w:lang w:val="sv-FI"/>
              </w:rPr>
              <w:t>Markus Rauramo</w:t>
            </w:r>
          </w:p>
        </w:tc>
      </w:tr>
      <w:tr w14:paraId="6C0D30A6" w14:textId="77777777" w:rsidTr="00F72E60">
        <w:tblPrEx>
          <w:tblW w:w="0" w:type="auto"/>
          <w:tblLook w:val="04A0"/>
        </w:tblPrEx>
        <w:trPr>
          <w:trHeight w:val="504"/>
        </w:trPr>
        <w:tc>
          <w:tcPr>
            <w:tcW w:w="2785" w:type="dxa"/>
          </w:tcPr>
          <w:p w:rsidR="00F72E60" w:rsidRPr="00F72E60" w:rsidP="00F72E60" w14:paraId="3FCCF449" w14:textId="4251604E">
            <w:pPr>
              <w:pStyle w:val="Bodytext2"/>
              <w:rPr>
                <w:lang w:val="sv-FI"/>
              </w:rPr>
            </w:pPr>
            <w:r w:rsidRPr="00E66264">
              <w:rPr>
                <w:lang w:val="sv-FI"/>
              </w:rPr>
              <w:t>Maarit Aarni-Sirviö</w:t>
            </w:r>
            <w:r w:rsidRPr="00E66264">
              <w:rPr>
                <w:lang w:val="sv-FI"/>
              </w:rPr>
              <w:tab/>
            </w:r>
          </w:p>
        </w:tc>
        <w:tc>
          <w:tcPr>
            <w:tcW w:w="4575" w:type="dxa"/>
          </w:tcPr>
          <w:p w:rsidR="00F72E60" w:rsidRPr="00F72E60" w:rsidP="00F72E60" w14:paraId="34C45C14" w14:textId="74DC4BB5">
            <w:pPr>
              <w:pStyle w:val="Bodytext2"/>
              <w:rPr>
                <w:lang w:val="sv-FI"/>
              </w:rPr>
            </w:pPr>
            <w:r w:rsidRPr="00F72E60">
              <w:rPr>
                <w:lang w:val="sv-FI"/>
              </w:rPr>
              <w:t>Karen Bomb</w:t>
            </w:r>
            <w:r>
              <w:rPr>
                <w:lang w:val="sv-FI"/>
              </w:rPr>
              <w:t>a</w:t>
            </w:r>
          </w:p>
        </w:tc>
      </w:tr>
      <w:tr w14:paraId="054F05A6" w14:textId="77777777" w:rsidTr="00F72E60">
        <w:tblPrEx>
          <w:tblW w:w="0" w:type="auto"/>
          <w:tblLook w:val="04A0"/>
        </w:tblPrEx>
        <w:trPr>
          <w:trHeight w:val="504"/>
        </w:trPr>
        <w:tc>
          <w:tcPr>
            <w:tcW w:w="2785" w:type="dxa"/>
          </w:tcPr>
          <w:p w:rsidR="00F72E60" w:rsidP="00F72E60" w14:paraId="511031C9" w14:textId="62A374B3">
            <w:pPr>
              <w:pStyle w:val="Bodytext2"/>
              <w:rPr>
                <w:lang w:val="fi-FI"/>
              </w:rPr>
            </w:pPr>
            <w:r w:rsidRPr="001E7D0E">
              <w:rPr>
                <w:lang w:val="sv-FI"/>
              </w:rPr>
              <w:t>Karin Falk</w:t>
            </w:r>
            <w:r w:rsidRPr="001E7D0E">
              <w:rPr>
                <w:lang w:val="sv-FI"/>
              </w:rPr>
              <w:tab/>
            </w:r>
          </w:p>
        </w:tc>
        <w:tc>
          <w:tcPr>
            <w:tcW w:w="4575" w:type="dxa"/>
          </w:tcPr>
          <w:p w:rsidR="00F72E60" w:rsidP="00F72E60" w14:paraId="7552D1FE" w14:textId="705A7E5E">
            <w:pPr>
              <w:pStyle w:val="Bodytext2"/>
              <w:rPr>
                <w:lang w:val="fi-FI"/>
              </w:rPr>
            </w:pPr>
            <w:r w:rsidRPr="001E7D0E">
              <w:rPr>
                <w:lang w:val="sv-FI"/>
              </w:rPr>
              <w:t>Johan Forssell</w:t>
            </w:r>
          </w:p>
        </w:tc>
      </w:tr>
      <w:tr w14:paraId="31CBA516" w14:textId="77777777" w:rsidTr="00F72E60">
        <w:tblPrEx>
          <w:tblW w:w="0" w:type="auto"/>
          <w:tblLook w:val="04A0"/>
        </w:tblPrEx>
        <w:trPr>
          <w:trHeight w:val="504"/>
        </w:trPr>
        <w:tc>
          <w:tcPr>
            <w:tcW w:w="2785" w:type="dxa"/>
          </w:tcPr>
          <w:p w:rsidR="00F72E60" w:rsidP="00F72E60" w14:paraId="439854E5" w14:textId="50B9C4EF">
            <w:pPr>
              <w:pStyle w:val="Bodytext2"/>
              <w:rPr>
                <w:lang w:val="fi-FI"/>
              </w:rPr>
            </w:pPr>
            <w:r w:rsidRPr="00024588">
              <w:rPr>
                <w:lang w:val="sv-FI"/>
              </w:rPr>
              <w:t>Risto Murto</w:t>
            </w:r>
          </w:p>
        </w:tc>
        <w:tc>
          <w:tcPr>
            <w:tcW w:w="4575" w:type="dxa"/>
          </w:tcPr>
          <w:p w:rsidR="00F72E60" w:rsidP="00F72E60" w14:paraId="45FDB9BF" w14:textId="314D9582">
            <w:pPr>
              <w:pStyle w:val="Bodytext2"/>
              <w:rPr>
                <w:lang w:val="fi-FI"/>
              </w:rPr>
            </w:pPr>
            <w:r w:rsidRPr="00024588">
              <w:rPr>
                <w:lang w:val="sv-FI"/>
              </w:rPr>
              <w:t>Mats Rahmström</w:t>
            </w:r>
          </w:p>
        </w:tc>
      </w:tr>
    </w:tbl>
    <w:p w:rsidR="004A0DF2" w:rsidRPr="007F6214" w:rsidP="007F6214" w14:textId="57DB1EB9">
      <w:pPr>
        <w:pStyle w:val="Bodytext2"/>
        <w:sectPr w:rsidSect="002642EE">
          <w:headerReference w:type="even" r:id="rId45"/>
          <w:headerReference w:type="default" r:id="rId46"/>
          <w:footerReference w:type="even" r:id="rId47"/>
          <w:footerReference w:type="default" r:id="rId48"/>
          <w:headerReference w:type="first" r:id="rId49"/>
          <w:footerReference w:type="first" r:id="rId50"/>
          <w:type w:val="continuous"/>
          <w:pgSz w:w="16838" w:h="11906" w:orient="landscape"/>
          <w:pgMar w:top="1814" w:right="737" w:bottom="1247" w:left="737" w:header="720" w:footer="720" w:gutter="0"/>
          <w:pgBorders w:zOrder="front" w:display="allPages" w:offsetFrom="text">
            <w:top w:val="nil"/>
            <w:left w:val="nil"/>
            <w:bottom w:val="nil"/>
            <w:right w:val="nil"/>
          </w:pgBorders>
          <w:cols w:num="2" w:space="624"/>
          <w:vAlign w:val="top"/>
          <w:titlePg w:val="0"/>
          <w:rtlGutter w:val="0"/>
          <w:docGrid w:linePitch="360"/>
        </w:sectPr>
      </w:pPr>
      <w:r>
        <w:t xml:space="preserve">                  </w:t>
      </w:r>
      <w:r w:rsidRPr="007F6214">
        <w:t>Jaakko Eskola, President and CEO</w:t>
      </w:r>
    </w:p>
    <w:p w:rsidR="00F17E50" w:rsidRPr="003B5952" w:rsidP="003B5952" w14:paraId="1D0132B0" w14:textId="77777777">
      <w:pPr>
        <w:pStyle w:val="Maintitle"/>
        <w:pageBreakBefore/>
      </w:pPr>
      <w:bookmarkStart w:id="1198" w:name="RG_MARKER_5440"/>
      <w:r w:rsidRPr="003B5952">
        <w:t>Tilintarkastuskertomus</w:t>
      </w:r>
      <w:bookmarkEnd w:id="1198"/>
    </w:p>
    <w:p w:rsidR="00F17E50" w:rsidRPr="00C30EF9" w:rsidP="00F17E50" w14:paraId="52025949" w14:textId="77777777">
      <w:pPr>
        <w:pStyle w:val="BodyText"/>
      </w:pPr>
      <w:r w:rsidRPr="00B14028">
        <w:t xml:space="preserve">Wärtsilä </w:t>
      </w:r>
      <w:r w:rsidRPr="000B3926">
        <w:t>Oyj</w:t>
      </w:r>
      <w:r w:rsidR="00F34682">
        <w:t xml:space="preserve"> Abp</w:t>
      </w:r>
      <w:r w:rsidRPr="000B3926">
        <w:t>:</w:t>
      </w:r>
      <w:r w:rsidRPr="00C30EF9">
        <w:t>n yhtiökokoukselle</w:t>
      </w:r>
    </w:p>
    <w:p w:rsidR="00F17E50" w:rsidRPr="003B5952" w:rsidP="00045724" w14:paraId="3F282D12" w14:textId="77777777">
      <w:pPr>
        <w:pStyle w:val="WAuditHeading1"/>
      </w:pPr>
      <w:r w:rsidRPr="003B5952">
        <w:t xml:space="preserve">Tilinpäätöksen tilintarkastus </w:t>
      </w:r>
    </w:p>
    <w:p w:rsidR="00F17E50" w:rsidRPr="00205468" w:rsidP="00045724" w14:paraId="0355E66E" w14:textId="77777777">
      <w:pPr>
        <w:pStyle w:val="WAuditHeading2"/>
      </w:pPr>
      <w:r w:rsidRPr="00205468">
        <w:t xml:space="preserve">Lausunto </w:t>
      </w:r>
    </w:p>
    <w:p w:rsidR="00F17E50" w:rsidRPr="00C30EF9" w:rsidP="00F17E50" w14:paraId="1175CA1A" w14:textId="77777777">
      <w:pPr>
        <w:pStyle w:val="BodyText"/>
      </w:pPr>
      <w:r w:rsidRPr="00C30EF9">
        <w:t xml:space="preserve">Lausuntonamme esitämme, että </w:t>
      </w:r>
    </w:p>
    <w:p w:rsidR="00F17E50" w:rsidRPr="00C30EF9" w:rsidP="009F7A88" w14:paraId="6ED70D80" w14:textId="77777777">
      <w:pPr>
        <w:pStyle w:val="ListBullet"/>
      </w:pPr>
      <w:r w:rsidRPr="009F7A88">
        <w:t>konsernitilinpäätös antaa oikean ja riittävän kuvan konsernin taloudellisesta asemasta sekä sen toiminnan tuloksesta ja rahavirroista EU:ssa käyttöön hyväksyttyjen kansainvälisten tilinpäätösstandardien (IFRS) mukaisesti</w:t>
      </w:r>
    </w:p>
    <w:p w:rsidR="00F17E50" w:rsidP="009F7A88" w14:paraId="4B2DE155" w14:textId="77777777">
      <w:pPr>
        <w:pStyle w:val="ListBullet"/>
      </w:pPr>
      <w:r w:rsidRPr="009F7A88">
        <w:t>tilinpäätös antaa oikean ja riittäv</w:t>
      </w:r>
      <w:r w:rsidRPr="009F7A88">
        <w:t>än kuvan emoyhtiön toiminnan tuloksesta ja taloudellisesta asemasta Suomessa voimassa olevien tilinpäätöksen laatimista koskevien säännösten mukaisesti ja täyttää lakisääteiset vaatimukset</w:t>
      </w:r>
      <w:r w:rsidR="00CC512D">
        <w:t>.</w:t>
      </w:r>
    </w:p>
    <w:p w:rsidR="00E5336D" w:rsidRPr="00C30EF9" w:rsidP="00E5336D" w14:paraId="3A2A6135" w14:textId="77777777">
      <w:pPr>
        <w:pStyle w:val="ListBullet"/>
        <w:numPr>
          <w:ilvl w:val="0"/>
          <w:numId w:val="0"/>
        </w:numPr>
      </w:pPr>
      <w:r w:rsidRPr="00E5336D">
        <w:t>Lausuntomme on ristiri</w:t>
      </w:r>
      <w:r>
        <w:t>i</w:t>
      </w:r>
      <w:r w:rsidR="005E503C">
        <w:t>daton tarkastusvaliokunnalle</w:t>
      </w:r>
      <w:r w:rsidRPr="00E5336D">
        <w:t xml:space="preserve"> annetun lisära</w:t>
      </w:r>
      <w:r w:rsidRPr="00E5336D">
        <w:t>portin kanssa.</w:t>
      </w:r>
    </w:p>
    <w:p w:rsidR="00F17E50" w:rsidRPr="00C30EF9" w:rsidP="00045724" w14:paraId="06DFF43E" w14:textId="77777777">
      <w:pPr>
        <w:pStyle w:val="WAuditHeading3"/>
      </w:pPr>
      <w:r w:rsidRPr="00C30EF9">
        <w:t>T</w:t>
      </w:r>
      <w:r w:rsidR="00CA5894">
        <w:t>ilint</w:t>
      </w:r>
      <w:r w:rsidRPr="00C30EF9">
        <w:t>arkastuksen kohde</w:t>
      </w:r>
    </w:p>
    <w:p w:rsidR="00F17E50" w:rsidRPr="00B14028" w:rsidP="00F17E50" w14:paraId="58A994A9" w14:textId="77777777">
      <w:pPr>
        <w:pStyle w:val="BodyText"/>
        <w:spacing w:after="120"/>
      </w:pPr>
      <w:r w:rsidRPr="00C30EF9">
        <w:t xml:space="preserve">Olemme tilintarkastaneet </w:t>
      </w:r>
      <w:r w:rsidR="00B14028">
        <w:t>Wärtsilä</w:t>
      </w:r>
      <w:r w:rsidRPr="00C30EF9">
        <w:t xml:space="preserve"> Oyj</w:t>
      </w:r>
      <w:r w:rsidR="00F34682">
        <w:t xml:space="preserve"> Abp</w:t>
      </w:r>
      <w:r w:rsidRPr="00C30EF9">
        <w:t xml:space="preserve">:n </w:t>
      </w:r>
      <w:r w:rsidR="00433794">
        <w:t xml:space="preserve">(y-tunnus </w:t>
      </w:r>
      <w:r w:rsidR="00B14028">
        <w:t>0128631-1</w:t>
      </w:r>
      <w:r w:rsidR="00433794">
        <w:t xml:space="preserve">) </w:t>
      </w:r>
      <w:r w:rsidRPr="00C30EF9">
        <w:t xml:space="preserve">tilinpäätöksen </w:t>
      </w:r>
      <w:r w:rsidRPr="00B14028">
        <w:t xml:space="preserve">tilikaudelta </w:t>
      </w:r>
      <w:r w:rsidRPr="00B14028" w:rsidR="000B3926">
        <w:t>1</w:t>
      </w:r>
      <w:r w:rsidRPr="00B14028">
        <w:t>.</w:t>
      </w:r>
      <w:r w:rsidRPr="00B14028" w:rsidR="000B3926">
        <w:t>1</w:t>
      </w:r>
      <w:r w:rsidRPr="00B14028">
        <w:t>.–</w:t>
      </w:r>
      <w:r w:rsidRPr="00B14028" w:rsidR="000B3926">
        <w:t>31</w:t>
      </w:r>
      <w:r w:rsidRPr="00B14028">
        <w:t>.</w:t>
      </w:r>
      <w:r w:rsidRPr="00B14028" w:rsidR="000B3926">
        <w:t>12</w:t>
      </w:r>
      <w:r w:rsidRPr="00B14028">
        <w:t>.20</w:t>
      </w:r>
      <w:r w:rsidR="009A21E0">
        <w:t>20</w:t>
      </w:r>
      <w:r w:rsidRPr="00B14028">
        <w:t>. Tilinpäätös sisältää:</w:t>
      </w:r>
    </w:p>
    <w:p w:rsidR="00F17E50" w:rsidRPr="00C30EF9" w:rsidP="00DE0272" w14:paraId="7CB902B0" w14:textId="77777777">
      <w:pPr>
        <w:pStyle w:val="ListBullet"/>
      </w:pPr>
      <w:r>
        <w:t xml:space="preserve">konsernin taseen, </w:t>
      </w:r>
      <w:r w:rsidRPr="00C30EF9">
        <w:t>tuloslaskelman, laajan tuloslaskelman, laskelman oman pääoman muuto</w:t>
      </w:r>
      <w:r w:rsidRPr="00C30EF9">
        <w:t>ksista, rahavirtalaskelman ja liitetiedot</w:t>
      </w:r>
      <w:r w:rsidR="00DE0272">
        <w:t xml:space="preserve">, </w:t>
      </w:r>
      <w:r w:rsidRPr="00DE0272" w:rsidR="00DE0272">
        <w:t>mukaan</w:t>
      </w:r>
      <w:r w:rsidR="006F5FE9">
        <w:t xml:space="preserve"> lukien yhteenveto merkittävi</w:t>
      </w:r>
      <w:r w:rsidRPr="00DE0272" w:rsidR="00DE0272">
        <w:t>stä tilinpäätöksen laatimisperiaatteista</w:t>
      </w:r>
    </w:p>
    <w:p w:rsidR="00F17E50" w:rsidP="00F17E50" w14:paraId="60A91E56" w14:textId="77777777">
      <w:pPr>
        <w:pStyle w:val="ListBullet"/>
      </w:pPr>
      <w:r>
        <w:rPr>
          <w:noProof/>
        </w:rPr>
        <w:drawing>
          <wp:anchor distT="0" distB="0" distL="114300" distR="114300" simplePos="0" relativeHeight="251667456" behindDoc="0" locked="0" layoutInCell="1" allowOverlap="1">
            <wp:simplePos x="0" y="0"/>
            <wp:positionH relativeFrom="column">
              <wp:posOffset>4895215</wp:posOffset>
            </wp:positionH>
            <wp:positionV relativeFrom="paragraph">
              <wp:posOffset>945515</wp:posOffset>
            </wp:positionV>
            <wp:extent cx="4572000" cy="146304"/>
            <wp:effectExtent l="0" t="0" r="0" b="0"/>
            <wp:wrapNone/>
            <wp:docPr id="6" name="Picture 6"/>
            <wp:cNvGraphicFramePr/>
            <a:graphic xmlns:a="http://schemas.openxmlformats.org/drawingml/2006/main">
              <a:graphicData uri="http://schemas.openxmlformats.org/drawingml/2006/picture">
                <pic:pic xmlns:pic="http://schemas.openxmlformats.org/drawingml/2006/picture">
                  <pic:nvPicPr>
                    <pic:cNvPr id="1955479036" name="Picture 1"/>
                    <pic:cNvPicPr/>
                  </pic:nvPicPr>
                  <pic:blipFill>
                    <a:blip xmlns:r="http://schemas.openxmlformats.org/officeDocument/2006/relationships" r:embed="rId51">
                      <a:extLst>
                        <a:ext xmlns:a="http://schemas.openxmlformats.org/drawingml/2006/main" uri="{28A0092B-C50C-407E-A947-70E740481C1C}">
                          <a14:useLocalDpi xmlns:a14="http://schemas.microsoft.com/office/drawing/2010/main" val="0"/>
                        </a:ext>
                      </a:extLst>
                    </a:blip>
                    <a:stretch>
                      <a:fillRect/>
                    </a:stretch>
                  </pic:blipFill>
                  <pic:spPr>
                    <a:xfrm>
                      <a:off x="0" y="0"/>
                      <a:ext cx="4572000" cy="146304"/>
                    </a:xfrm>
                    <a:prstGeom prst="rect">
                      <a:avLst/>
                    </a:prstGeom>
                  </pic:spPr>
                </pic:pic>
              </a:graphicData>
            </a:graphic>
            <wp14:sizeRelH relativeFrom="page">
              <wp14:pctWidth>0</wp14:pctWidth>
            </wp14:sizeRelH>
            <wp14:sizeRelV relativeFrom="page">
              <wp14:pctHeight>0</wp14:pctHeight>
            </wp14:sizeRelV>
          </wp:anchor>
        </w:drawing>
      </w:r>
      <w:r w:rsidRPr="00FB2EA2">
        <w:rPr>
          <w:noProof/>
        </w:rPr>
        <w:drawing>
          <wp:anchor distT="0" distB="0" distL="114300" distR="114300" simplePos="0" relativeHeight="251666432" behindDoc="0" locked="0" layoutInCell="1" allowOverlap="1">
            <wp:simplePos x="0" y="0"/>
            <wp:positionH relativeFrom="column">
              <wp:posOffset>-127635</wp:posOffset>
            </wp:positionH>
            <wp:positionV relativeFrom="paragraph">
              <wp:posOffset>976947</wp:posOffset>
            </wp:positionV>
            <wp:extent cx="5487035" cy="48387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081203" name=""/>
                    <pic:cNvPicPr/>
                  </pic:nvPicPr>
                  <pic:blipFill>
                    <a:blip xmlns:r="http://schemas.openxmlformats.org/officeDocument/2006/relationships" r:embed="rId52">
                      <a:extLst>
                        <a:ext xmlns:a="http://schemas.openxmlformats.org/drawingml/2006/main" uri="{28A0092B-C50C-407E-A947-70E740481C1C}">
                          <a14:useLocalDpi xmlns:a14="http://schemas.microsoft.com/office/drawing/2010/main" val="0"/>
                        </a:ext>
                      </a:extLst>
                    </a:blip>
                    <a:stretch>
                      <a:fillRect/>
                    </a:stretch>
                  </pic:blipFill>
                  <pic:spPr>
                    <a:xfrm>
                      <a:off x="0" y="0"/>
                      <a:ext cx="5487035" cy="483870"/>
                    </a:xfrm>
                    <a:prstGeom prst="rect">
                      <a:avLst/>
                    </a:prstGeom>
                  </pic:spPr>
                </pic:pic>
              </a:graphicData>
            </a:graphic>
            <wp14:sizeRelH relativeFrom="page">
              <wp14:pctWidth>0</wp14:pctWidth>
            </wp14:sizeRelH>
            <wp14:sizeRelV relativeFrom="page">
              <wp14:pctHeight>0</wp14:pctHeight>
            </wp14:sizeRelV>
          </wp:anchor>
        </w:drawing>
      </w:r>
      <w:r w:rsidRPr="00C30EF9">
        <w:t>emoyhtiön taseen, tuloslaskelman, rahoituslaskelman ja liitetiedot</w:t>
      </w:r>
      <w:r w:rsidR="00CC512D">
        <w:t>.</w:t>
      </w:r>
    </w:p>
    <w:p w:rsidR="00414513" w:rsidRPr="00C30EF9" w:rsidP="00414513" w14:paraId="52FDA195" w14:textId="77777777">
      <w:pPr>
        <w:pStyle w:val="ListBullet"/>
        <w:numPr>
          <w:ilvl w:val="0"/>
          <w:numId w:val="0"/>
        </w:numPr>
        <w:spacing w:after="0" w:line="20" w:lineRule="exact"/>
        <w:ind w:left="360"/>
      </w:pPr>
      <w:r>
        <w:br w:type="column"/>
      </w:r>
    </w:p>
    <w:p w:rsidR="00F17E50" w:rsidRPr="00C30EF9" w:rsidP="0087196B" w14:paraId="672CB0E3" w14:textId="77777777">
      <w:pPr>
        <w:pStyle w:val="WAuditHeading2"/>
      </w:pPr>
      <w:r w:rsidRPr="00C30EF9">
        <w:t xml:space="preserve">Lausunnon perustelut </w:t>
      </w:r>
    </w:p>
    <w:p w:rsidR="00F17E50" w:rsidP="00F17E50" w14:paraId="388AD38D" w14:textId="77777777">
      <w:pPr>
        <w:pStyle w:val="BodyText"/>
      </w:pPr>
      <w:r w:rsidRPr="00C30EF9">
        <w:t xml:space="preserve">Olemme suorittaneet tilintarkastuksen Suomessa noudatettavan hyvän tilintarkastustavan mukaisesti. Hyvän tilintarkastustavan mukaisia velvollisuuksiamme kuvataan tarkemmin kohdassa Tilintarkastajan velvollisuudet tilinpäätöksen tilintarkastuksessa. </w:t>
      </w:r>
    </w:p>
    <w:p w:rsidR="00F17E50" w:rsidRPr="00C30EF9" w:rsidP="00F17E50" w14:paraId="40E28EF5" w14:textId="77777777">
      <w:pPr>
        <w:pStyle w:val="BodyText"/>
      </w:pPr>
      <w:r w:rsidRPr="00C30EF9">
        <w:t>Käsity</w:t>
      </w:r>
      <w:r w:rsidRPr="00C30EF9">
        <w:t xml:space="preserve">ksemme mukaan olemme hankkineet lausuntomme perustaksi tarpeellisen määrän tarkoitukseen soveltuvaa tilintarkastusevidenssiä. </w:t>
      </w:r>
    </w:p>
    <w:p w:rsidR="00F17E50" w:rsidRPr="00C30EF9" w:rsidP="0087196B" w14:paraId="4E931276" w14:textId="77777777">
      <w:pPr>
        <w:pStyle w:val="WAuditHeading3"/>
      </w:pPr>
      <w:r w:rsidRPr="00C30EF9">
        <w:t>Riippumattomuus</w:t>
      </w:r>
    </w:p>
    <w:p w:rsidR="008C2B25" w:rsidP="00552496" w14:paraId="7B382150" w14:textId="77777777">
      <w:pPr>
        <w:pStyle w:val="BodyText"/>
      </w:pPr>
      <w:r w:rsidRPr="00C30EF9">
        <w:t>Olemme riippumattomia emoyhtiöstä ja konserniyrityksistä niiden Suomessa noudatettavien eettisten vaatimusten muk</w:t>
      </w:r>
      <w:r w:rsidRPr="00C30EF9">
        <w:t>aisesti, jotka koskevat suorittamaamme tilintarkastusta ja olemme täyttäneet muut näiden vaatimusten mukaiset eettiset velvollisuutemme.</w:t>
      </w:r>
    </w:p>
    <w:p w:rsidR="00552496" w:rsidP="00552496" w14:paraId="33630235" w14:textId="77777777">
      <w:pPr>
        <w:pStyle w:val="BodyText"/>
      </w:pPr>
      <w:r w:rsidRPr="008C2B25">
        <w:t>Emoyhtiölle ja konserniyrityksille suorittamamme muut kuin tilintarkastuspalvelut ovat parhaan tietomme ja käsityksemme</w:t>
      </w:r>
      <w:r w:rsidR="002A5F98">
        <w:t xml:space="preserve"> mukaan</w:t>
      </w:r>
      <w:r w:rsidRPr="008C2B25">
        <w:t xml:space="preserve"> olleet Suomessa noudatettavien, näitä palveluja koskevien säännösten mukaisia, emmekä ole suorittaneet EU-asetuksen 537/2014 5</w:t>
      </w:r>
      <w:r w:rsidR="006A582C">
        <w:t>. artiklan 1-</w:t>
      </w:r>
      <w:r w:rsidRPr="008C2B25">
        <w:t>kohdassa tarkoitettuja kiellettyjä palveluja. Suorittamamme muut kuin tilintarkastu</w:t>
      </w:r>
      <w:r>
        <w:t>spalvelut on esitetty kons</w:t>
      </w:r>
      <w:r>
        <w:t>erni</w:t>
      </w:r>
      <w:r w:rsidRPr="008C2B25">
        <w:t>tilinpäätöksen liitetiedossa</w:t>
      </w:r>
      <w:r>
        <w:t xml:space="preserve"> </w:t>
      </w:r>
      <w:r w:rsidR="000C7B5D">
        <w:t>7.3</w:t>
      </w:r>
      <w:r w:rsidRPr="008C2B25">
        <w:t>.</w:t>
      </w:r>
      <w:r w:rsidRPr="00B57AB2">
        <w:rPr>
          <w:noProof/>
        </w:rPr>
        <w:t xml:space="preserve"> </w:t>
      </w:r>
    </w:p>
    <w:p w:rsidR="00552496" w:rsidP="00552496" w14:paraId="785886BD" w14:textId="77777777">
      <w:pPr>
        <w:pStyle w:val="BodyText"/>
        <w:spacing w:after="0" w:line="20" w:lineRule="exact"/>
      </w:pPr>
      <w:r>
        <w:t xml:space="preserve"> </w:t>
      </w:r>
      <w:r>
        <w:br w:type="column"/>
      </w:r>
    </w:p>
    <w:p w:rsidR="00F17E50" w:rsidRPr="00C30EF9" w:rsidP="00552496" w14:paraId="7735F88B" w14:textId="77777777">
      <w:pPr>
        <w:pStyle w:val="WAuditHeading2"/>
      </w:pPr>
      <w:r w:rsidRPr="00C30EF9">
        <w:t>Tarkastuksen yleinen lähestymistapa</w:t>
      </w:r>
    </w:p>
    <w:p w:rsidR="00F17E50" w:rsidRPr="00C30EF9" w:rsidP="0087196B" w14:paraId="6C8CDE4F" w14:textId="77777777">
      <w:pPr>
        <w:pStyle w:val="WAuditHeading3"/>
      </w:pPr>
      <w:r w:rsidRPr="00C30EF9">
        <w:t>Yhteenveto</w:t>
      </w:r>
    </w:p>
    <w:tbl>
      <w:tblPr>
        <w:tblStyle w:val="PwCTableFigures"/>
        <w:tblW w:w="0" w:type="auto"/>
        <w:tblLook w:val="0680"/>
      </w:tblPr>
      <w:tblGrid>
        <w:gridCol w:w="1942"/>
        <w:gridCol w:w="5431"/>
      </w:tblGrid>
      <w:tr w14:paraId="7E6FD5FF" w14:textId="77777777" w:rsidTr="003A0BC0">
        <w:tblPrEx>
          <w:tblW w:w="0" w:type="auto"/>
          <w:tblLook w:val="0680"/>
        </w:tblPrEx>
        <w:trPr>
          <w:trHeight w:val="892"/>
        </w:trPr>
        <w:tc>
          <w:tcPr>
            <w:tcW w:w="1844" w:type="dxa"/>
            <w:vMerge w:val="restart"/>
            <w:tcBorders>
              <w:top w:val="dotted" w:sz="4" w:space="0" w:color="DB6900"/>
              <w:bottom w:val="dotted" w:sz="4" w:space="0" w:color="44546A" w:themeColor="text2"/>
            </w:tcBorders>
          </w:tcPr>
          <w:p w:rsidR="00F17E50" w:rsidRPr="00C30EF9" w:rsidP="003C0E8D" w14:paraId="7339799A" w14:textId="77777777">
            <w:pPr>
              <w:pStyle w:val="TableBody"/>
            </w:pPr>
            <w:r>
              <w:rPr>
                <w:noProof/>
                <w:lang w:val="en-US" w:eastAsia="zh-CN"/>
              </w:rPr>
              <w:drawing>
                <wp:inline distT="0" distB="0" distL="0" distR="0">
                  <wp:extent cx="1125227" cy="1984076"/>
                  <wp:effectExtent l="0" t="0" r="0" b="0"/>
                  <wp:docPr id="16974721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384398" name="Picture 11"/>
                          <pic:cNvPicPr>
                            <a:picLocks noChangeAspect="1" noChangeArrowheads="1"/>
                          </pic:cNvPicPr>
                        </pic:nvPicPr>
                        <pic:blipFill>
                          <a:blip xmlns:r="http://schemas.openxmlformats.org/officeDocument/2006/relationships" r:embed="rId53" cstate="print">
                            <a:extLst>
                              <a:ext xmlns:a="http://schemas.openxmlformats.org/drawingml/2006/main" uri="{28A0092B-C50C-407E-A947-70E740481C1C}">
                                <a14:useLocalDpi xmlns:a14="http://schemas.microsoft.com/office/drawing/2010/main" val="0"/>
                              </a:ext>
                            </a:extLst>
                          </a:blip>
                          <a:srcRect l="132" t="68" r="132" b="68"/>
                          <a:stretch>
                            <a:fillRect/>
                          </a:stretch>
                        </pic:blipFill>
                        <pic:spPr bwMode="auto">
                          <a:xfrm>
                            <a:off x="0" y="0"/>
                            <a:ext cx="1141775" cy="2013254"/>
                          </a:xfrm>
                          <a:prstGeom prst="rect">
                            <a:avLst/>
                          </a:prstGeom>
                          <a:noFill/>
                        </pic:spPr>
                      </pic:pic>
                    </a:graphicData>
                  </a:graphic>
                </wp:inline>
              </w:drawing>
            </w:r>
          </w:p>
        </w:tc>
        <w:tc>
          <w:tcPr>
            <w:tcW w:w="8023" w:type="dxa"/>
            <w:tcBorders>
              <w:top w:val="dotted" w:sz="4" w:space="0" w:color="DB6900"/>
              <w:bottom w:val="dotted" w:sz="4" w:space="0" w:color="DB6900"/>
            </w:tcBorders>
          </w:tcPr>
          <w:p w:rsidR="00F17E50" w:rsidRPr="00C30EF9" w:rsidP="009170E9" w14:paraId="7EFB015A" w14:textId="77777777">
            <w:pPr>
              <w:pStyle w:val="TableBodyListBullet"/>
            </w:pPr>
            <w:r w:rsidRPr="00C30EF9">
              <w:t>Konsernitilinpäätök</w:t>
            </w:r>
            <w:r>
              <w:t>sel</w:t>
            </w:r>
            <w:r w:rsidR="00303341">
              <w:t>le määritetty olennaisuus oli 2</w:t>
            </w:r>
            <w:r w:rsidR="009A21E0">
              <w:t>0</w:t>
            </w:r>
            <w:r>
              <w:t xml:space="preserve"> miljoonaa euroa.</w:t>
            </w:r>
          </w:p>
        </w:tc>
      </w:tr>
      <w:tr w14:paraId="53F32C4F" w14:textId="77777777" w:rsidTr="003A0BC0">
        <w:tblPrEx>
          <w:tblW w:w="0" w:type="auto"/>
          <w:tblLook w:val="0680"/>
        </w:tblPrEx>
        <w:trPr>
          <w:trHeight w:val="1463"/>
        </w:trPr>
        <w:tc>
          <w:tcPr>
            <w:tcW w:w="1844" w:type="dxa"/>
            <w:vMerge/>
            <w:tcBorders>
              <w:top w:val="dotted" w:sz="4" w:space="0" w:color="44546A" w:themeColor="text2"/>
              <w:bottom w:val="single" w:sz="4" w:space="0" w:color="44546A" w:themeColor="text2"/>
            </w:tcBorders>
          </w:tcPr>
          <w:p w:rsidR="00F17E50" w:rsidRPr="00C30EF9" w:rsidP="003C0E8D" w14:paraId="2371A507" w14:textId="77777777">
            <w:pPr>
              <w:pStyle w:val="TableBody"/>
            </w:pPr>
          </w:p>
        </w:tc>
        <w:tc>
          <w:tcPr>
            <w:tcW w:w="8023" w:type="dxa"/>
            <w:tcBorders>
              <w:top w:val="dotted" w:sz="4" w:space="0" w:color="DB6900"/>
              <w:bottom w:val="single" w:sz="2" w:space="0" w:color="DB6900"/>
            </w:tcBorders>
          </w:tcPr>
          <w:p w:rsidR="00F17E50" w:rsidRPr="00C30EF9" w:rsidP="0020616A" w14:paraId="59D4CE17" w14:textId="77777777">
            <w:pPr>
              <w:pStyle w:val="TableBodyListBullet"/>
            </w:pPr>
            <w:r>
              <w:t>Konsernitilinpäätöksen tarkastuksen laajuuteen sisältyi emoyhtiön Wärtsilä Oyj</w:t>
            </w:r>
            <w:r w:rsidR="00F34682">
              <w:t xml:space="preserve"> Abp</w:t>
            </w:r>
            <w:r>
              <w:t xml:space="preserve">:n </w:t>
            </w:r>
            <w:r>
              <w:t>lisäksi</w:t>
            </w:r>
            <w:r w:rsidRPr="000D2F5B">
              <w:t xml:space="preserve"> kaikki mer</w:t>
            </w:r>
            <w:r>
              <w:t>kittävät toiminnalliset yhtiöt ja iso joukko pienempiä yhtiöitä,</w:t>
            </w:r>
            <w:r w:rsidRPr="000D2F5B">
              <w:t xml:space="preserve"> kattaen valtaosan konsernin liikevaihdosta, </w:t>
            </w:r>
            <w:r>
              <w:t>varoista ja veloista</w:t>
            </w:r>
            <w:r w:rsidRPr="000D2F5B">
              <w:t>.</w:t>
            </w:r>
          </w:p>
        </w:tc>
      </w:tr>
      <w:tr w14:paraId="40789DAA" w14:textId="77777777" w:rsidTr="003A0BC0">
        <w:tblPrEx>
          <w:tblW w:w="0" w:type="auto"/>
          <w:tblLook w:val="0680"/>
        </w:tblPrEx>
        <w:trPr>
          <w:trHeight w:val="920"/>
        </w:trPr>
        <w:tc>
          <w:tcPr>
            <w:tcW w:w="1844" w:type="dxa"/>
            <w:vMerge/>
            <w:tcBorders>
              <w:top w:val="dotted" w:sz="4" w:space="0" w:color="44546A" w:themeColor="text2"/>
              <w:bottom w:val="single" w:sz="2" w:space="0" w:color="DB6900"/>
            </w:tcBorders>
          </w:tcPr>
          <w:p w:rsidR="00F17E50" w:rsidRPr="00C30EF9" w:rsidP="003C0E8D" w14:paraId="32F7B861" w14:textId="77777777">
            <w:pPr>
              <w:pStyle w:val="TableBody"/>
            </w:pPr>
          </w:p>
        </w:tc>
        <w:tc>
          <w:tcPr>
            <w:tcW w:w="8023" w:type="dxa"/>
            <w:tcBorders>
              <w:top w:val="single" w:sz="2" w:space="0" w:color="DB6900"/>
              <w:bottom w:val="single" w:sz="2" w:space="0" w:color="DB6900"/>
            </w:tcBorders>
          </w:tcPr>
          <w:p w:rsidR="001E3209" w:rsidRPr="00E80975" w:rsidP="004B1727" w14:paraId="6469275F" w14:textId="77777777">
            <w:pPr>
              <w:pStyle w:val="TableBodyListBullet"/>
              <w:rPr>
                <w:color w:val="FF0000"/>
                <w:lang w:val="en-US"/>
              </w:rPr>
            </w:pPr>
            <w:r>
              <w:rPr>
                <w:lang w:val="en-US"/>
              </w:rPr>
              <w:t>Pitkäaikaisten asiakassopimusten tuloutus</w:t>
            </w:r>
          </w:p>
          <w:p w:rsidR="00F17E50" w:rsidRPr="00F32635" w:rsidP="004B1727" w14:paraId="311841F4" w14:textId="77777777">
            <w:pPr>
              <w:pStyle w:val="TableBodyListBullet"/>
              <w:rPr>
                <w:lang w:val="en-US"/>
              </w:rPr>
            </w:pPr>
            <w:r>
              <w:rPr>
                <w:lang w:val="en-US"/>
              </w:rPr>
              <w:t>Liikearvon arvostus</w:t>
            </w:r>
          </w:p>
          <w:p w:rsidR="00F17E50" w:rsidRPr="00C30EF9" w:rsidP="003C0E8D" w14:paraId="0AA6EA56" w14:textId="77777777">
            <w:pPr>
              <w:pStyle w:val="TableBodyListBullet"/>
            </w:pPr>
            <w:r w:rsidRPr="006D49A6">
              <w:rPr>
                <w:lang w:val="en-US"/>
              </w:rPr>
              <w:t>Myyntisaamisten arvostus</w:t>
            </w:r>
          </w:p>
        </w:tc>
      </w:tr>
    </w:tbl>
    <w:p w:rsidR="00F17E50" w:rsidRPr="00C30EF9" w:rsidP="00F17E50" w14:paraId="6E4553FA" w14:textId="77777777">
      <w:pPr>
        <w:pStyle w:val="BodySingle"/>
      </w:pPr>
    </w:p>
    <w:p w:rsidR="00F17E50" w:rsidRPr="00C30EF9" w:rsidP="00F17E50" w14:paraId="74B39A20" w14:textId="77777777">
      <w:pPr>
        <w:pStyle w:val="BodyText"/>
      </w:pPr>
      <w:r>
        <w:t xml:space="preserve">Osana </w:t>
      </w:r>
      <w:r>
        <w:t>tilintarkastuksen suunnittelua olemme määrittäneet</w:t>
      </w:r>
      <w:r w:rsidRPr="00C30EF9">
        <w:t xml:space="preserve"> olennaisuuden ja arvioi</w:t>
      </w:r>
      <w:r>
        <w:t>neet</w:t>
      </w:r>
      <w:r w:rsidRPr="00C30EF9">
        <w:t xml:space="preserve"> riskiä siitä, että tilinpäätöksessä on olennainen virheellisyys. Erityisesti olemme arvioineet alueita, joiden osalta johto on tehnyt subjektiivisia arvioita. Tällaisia ovat esi</w:t>
      </w:r>
      <w:r w:rsidRPr="00C30EF9">
        <w:t xml:space="preserve">merkiksi </w:t>
      </w:r>
      <w:r w:rsidR="009217AC">
        <w:t xml:space="preserve">merkittävät </w:t>
      </w:r>
      <w:r w:rsidRPr="00C30EF9">
        <w:t xml:space="preserve">kirjanpidolliset arviot, joihin liittyy oletuksia ja tulevien tapahtumien </w:t>
      </w:r>
      <w:r w:rsidR="009217AC">
        <w:t>arviointia</w:t>
      </w:r>
      <w:r w:rsidRPr="00C30EF9">
        <w:t>.</w:t>
      </w:r>
    </w:p>
    <w:p w:rsidR="00F17E50" w:rsidRPr="00C30EF9" w:rsidP="0087196B" w14:paraId="292CA4A7" w14:textId="77777777">
      <w:pPr>
        <w:pStyle w:val="WAuditHeading3"/>
      </w:pPr>
      <w:r w:rsidRPr="00C30EF9">
        <w:t>Olennaisuus</w:t>
      </w:r>
    </w:p>
    <w:p w:rsidR="00F17E50" w:rsidRPr="00C30EF9" w:rsidP="00F17E50" w14:paraId="30B56B38" w14:textId="77777777">
      <w:pPr>
        <w:pStyle w:val="BodyText"/>
      </w:pPr>
      <w:r w:rsidRPr="00C30EF9">
        <w:t>Tarkastuksemme suunnitteluun ja suorittamiseen on vaikuttanut soveltamamme olennaisuus. Tilintarkastuksen tavoitteena on hankkia kohtuull</w:t>
      </w:r>
      <w:r w:rsidRPr="00C30EF9">
        <w:t xml:space="preserve">inen varmuus siitä, onko tilinpäätöksessä kokonaisuutena olennaista virheellisyyttä. Virheellisyyksiä voi aiheutua väärinkäytöksestä tai virheestä. Niiden katsotaan olevan olennaisia, </w:t>
      </w:r>
      <w:r w:rsidRPr="00C30EF9">
        <w:t>jo</w:t>
      </w:r>
      <w:r w:rsidR="003648A8">
        <w:t>s niiden yksin tai yhdessä voitaisiin</w:t>
      </w:r>
      <w:r w:rsidRPr="00C30EF9">
        <w:t xml:space="preserve"> kohtuudella odottaa vaikuttavan </w:t>
      </w:r>
      <w:r w:rsidRPr="00C30EF9">
        <w:t>taloudellisiin päätöksiin, joita käyttäjät tekevät tilinpäätöksen perusteella.</w:t>
      </w:r>
    </w:p>
    <w:p w:rsidR="00145434" w:rsidRPr="00C30EF9" w:rsidP="00F17E50" w14:paraId="3ADF00EF" w14:textId="77777777">
      <w:pPr>
        <w:pStyle w:val="BodyText"/>
      </w:pPr>
      <w:r w:rsidRPr="00C30EF9">
        <w:t>Perustuen ammatilliseen harkintaamme määritimme olennaisuuteen liittyen tiettyjä kvantitatiivisia raja-arvoja, kuten alla olevassa taulukossa kuvatun konsernitilinpäätökselle mä</w:t>
      </w:r>
      <w:r w:rsidRPr="00C30EF9">
        <w:t xml:space="preserve">äritetyn olennaisuuden. Nämä raja-arvot yhdessä kvalitatiivisten tekijöiden kanssa auttoivat meitä määrittämään tarkastuksen kokonaislaajuuden ja yksittäisten </w:t>
      </w:r>
      <w:r w:rsidR="009217AC">
        <w:t>tilin</w:t>
      </w:r>
      <w:r w:rsidRPr="00C30EF9">
        <w:t xml:space="preserve">tarkastustoimenpiteiden luonteen, ajoituksen ja laajuuden sekä arvioimaan virheellisyyksien </w:t>
      </w:r>
      <w:r w:rsidRPr="00C30EF9">
        <w:t>vaikutusta tilinpäätökseen kokonaisuutena.</w:t>
      </w:r>
    </w:p>
    <w:tbl>
      <w:tblPr>
        <w:tblStyle w:val="PwCTableFigures"/>
        <w:tblW w:w="0" w:type="auto"/>
        <w:tblBorders>
          <w:top w:val="single" w:sz="4" w:space="0" w:color="44546A" w:themeColor="text2"/>
          <w:insideH w:val="single" w:sz="4" w:space="0" w:color="DC6900"/>
        </w:tblBorders>
        <w:tblLook w:val="0680"/>
      </w:tblPr>
      <w:tblGrid>
        <w:gridCol w:w="3016"/>
        <w:gridCol w:w="4357"/>
      </w:tblGrid>
      <w:tr w14:paraId="31B06914" w14:textId="77777777" w:rsidTr="003A0BC0">
        <w:tblPrEx>
          <w:tblW w:w="0" w:type="auto"/>
          <w:tblBorders>
            <w:top w:val="single" w:sz="4" w:space="0" w:color="44546A" w:themeColor="text2"/>
            <w:insideH w:val="single" w:sz="4" w:space="0" w:color="DC6900"/>
          </w:tblBorders>
          <w:tblLook w:val="0680"/>
        </w:tblPrEx>
        <w:trPr>
          <w:trHeight w:val="22"/>
        </w:trPr>
        <w:tc>
          <w:tcPr>
            <w:tcW w:w="3397" w:type="dxa"/>
            <w:tcBorders>
              <w:top w:val="single" w:sz="2" w:space="0" w:color="DB6900"/>
              <w:bottom w:val="dotted" w:sz="4" w:space="0" w:color="DB6900"/>
            </w:tcBorders>
          </w:tcPr>
          <w:p w:rsidR="00F17E50" w:rsidRPr="0087196B" w:rsidP="003C0E8D" w14:paraId="1833B681" w14:textId="77777777">
            <w:pPr>
              <w:pStyle w:val="TableBody"/>
              <w:rPr>
                <w:b/>
                <w:i/>
                <w:color w:val="DC6900"/>
              </w:rPr>
            </w:pPr>
            <w:r w:rsidRPr="0087196B">
              <w:rPr>
                <w:b/>
                <w:i/>
                <w:color w:val="DC6900"/>
              </w:rPr>
              <w:t>Konsernitilinpäätökselle määritetty olennaisuus</w:t>
            </w:r>
          </w:p>
        </w:tc>
        <w:tc>
          <w:tcPr>
            <w:tcW w:w="6608" w:type="dxa"/>
            <w:tcBorders>
              <w:top w:val="single" w:sz="2" w:space="0" w:color="DB6900"/>
              <w:bottom w:val="dotted" w:sz="4" w:space="0" w:color="DB6900"/>
            </w:tcBorders>
          </w:tcPr>
          <w:p w:rsidR="00F17E50" w:rsidRPr="00C30EF9" w:rsidP="004C47C2" w14:paraId="12ED3900" w14:textId="77777777">
            <w:pPr>
              <w:pStyle w:val="TableBody"/>
            </w:pPr>
            <w:r>
              <w:t xml:space="preserve">20 miljoonaa euroa (edellinen vuosi </w:t>
            </w:r>
            <w:r w:rsidR="00ED3C3E">
              <w:t>2</w:t>
            </w:r>
            <w:r w:rsidR="00F32635">
              <w:t>4</w:t>
            </w:r>
            <w:r w:rsidR="00EB7A49">
              <w:t xml:space="preserve"> miljoonaa euroa</w:t>
            </w:r>
            <w:r>
              <w:t>)</w:t>
            </w:r>
          </w:p>
        </w:tc>
      </w:tr>
      <w:tr w14:paraId="0F2F179C" w14:textId="77777777" w:rsidTr="003A0BC0">
        <w:tblPrEx>
          <w:tblW w:w="0" w:type="auto"/>
          <w:tblLook w:val="0680"/>
        </w:tblPrEx>
        <w:tc>
          <w:tcPr>
            <w:tcW w:w="3397" w:type="dxa"/>
            <w:tcBorders>
              <w:top w:val="dotted" w:sz="4" w:space="0" w:color="DB6900"/>
              <w:bottom w:val="dotted" w:sz="4" w:space="0" w:color="DB6900"/>
            </w:tcBorders>
          </w:tcPr>
          <w:p w:rsidR="00EB7A49" w:rsidRPr="0087196B" w:rsidP="00EB7A49" w14:paraId="57BBE0F5" w14:textId="77777777">
            <w:pPr>
              <w:pStyle w:val="TableBody"/>
              <w:rPr>
                <w:b/>
                <w:i/>
                <w:color w:val="DC6900"/>
              </w:rPr>
            </w:pPr>
            <w:r w:rsidRPr="0087196B">
              <w:rPr>
                <w:b/>
                <w:i/>
                <w:color w:val="DC6900"/>
              </w:rPr>
              <w:t>Olennaisuuden määrittämisessä käytetty vertailukohde</w:t>
            </w:r>
          </w:p>
        </w:tc>
        <w:tc>
          <w:tcPr>
            <w:tcW w:w="6608" w:type="dxa"/>
            <w:tcBorders>
              <w:top w:val="dotted" w:sz="4" w:space="0" w:color="DB6900"/>
              <w:bottom w:val="dotted" w:sz="4" w:space="0" w:color="DB6900"/>
            </w:tcBorders>
          </w:tcPr>
          <w:p w:rsidR="00EB7A49" w:rsidRPr="00C30EF9" w:rsidP="00EB7A49" w14:paraId="5DB1F5C9" w14:textId="77777777">
            <w:pPr>
              <w:pStyle w:val="TableBody"/>
            </w:pPr>
            <w:r>
              <w:t xml:space="preserve">5 </w:t>
            </w:r>
            <w:r w:rsidRPr="00C30EF9">
              <w:t xml:space="preserve">% </w:t>
            </w:r>
            <w:r>
              <w:t>tuloksesta ennen veroja</w:t>
            </w:r>
            <w:r w:rsidR="00F32635">
              <w:t xml:space="preserve"> (viiden vuoden keskiarvo)</w:t>
            </w:r>
          </w:p>
        </w:tc>
      </w:tr>
      <w:tr w14:paraId="32F85D65" w14:textId="77777777" w:rsidTr="003A0BC0">
        <w:tblPrEx>
          <w:tblW w:w="0" w:type="auto"/>
          <w:tblLook w:val="0680"/>
        </w:tblPrEx>
        <w:tc>
          <w:tcPr>
            <w:tcW w:w="3397" w:type="dxa"/>
            <w:tcBorders>
              <w:top w:val="dotted" w:sz="4" w:space="0" w:color="DB6900"/>
              <w:bottom w:val="single" w:sz="2" w:space="0" w:color="DB6900"/>
            </w:tcBorders>
          </w:tcPr>
          <w:p w:rsidR="00EB7A49" w:rsidRPr="0087196B" w:rsidP="00EB7A49" w14:paraId="1CA96B41" w14:textId="77777777">
            <w:pPr>
              <w:pStyle w:val="TableBody"/>
              <w:rPr>
                <w:b/>
                <w:i/>
                <w:color w:val="DC6900"/>
              </w:rPr>
            </w:pPr>
            <w:r w:rsidRPr="0087196B">
              <w:rPr>
                <w:b/>
                <w:i/>
                <w:color w:val="DC6900"/>
              </w:rPr>
              <w:t>Perustelut vertailukohteen valinnalle</w:t>
            </w:r>
          </w:p>
        </w:tc>
        <w:tc>
          <w:tcPr>
            <w:tcW w:w="6608" w:type="dxa"/>
            <w:tcBorders>
              <w:top w:val="dotted" w:sz="4" w:space="0" w:color="DB6900"/>
              <w:bottom w:val="single" w:sz="2" w:space="0" w:color="DB6900"/>
            </w:tcBorders>
          </w:tcPr>
          <w:p w:rsidR="00EB7A49" w:rsidRPr="00EB7A49" w:rsidP="006E374E" w14:paraId="2A845D34" w14:textId="77777777">
            <w:pPr>
              <w:pStyle w:val="TableBody"/>
            </w:pPr>
            <w:r w:rsidRPr="00EB7A49">
              <w:t xml:space="preserve">Valitsimme olennaisuuden määrittämisen vertailukohteeksi tuloksen ennen veroja, koska käsityksemme mukaan tilinpäätöksen lukijat käyttävät yleisimmin sitä arvioidessaan konsernin suoriutumista. Lisäksi tulos </w:t>
            </w:r>
            <w:r w:rsidRPr="00EB7A49">
              <w:t xml:space="preserve">ennen veroja on yleisesti hyväksytty vertailukohde. </w:t>
            </w:r>
            <w:r w:rsidR="0067022A">
              <w:t>Valitsimme sovellettavaksi prosenttiosuudeksi 5</w:t>
            </w:r>
            <w:r w:rsidR="00921345">
              <w:t xml:space="preserve"> </w:t>
            </w:r>
            <w:r w:rsidR="0067022A">
              <w:t>%, joka on tilintarkastusstandardeissa yleisesti hyväksyttyjen määrärajojen puitteissa.</w:t>
            </w:r>
          </w:p>
        </w:tc>
      </w:tr>
    </w:tbl>
    <w:p w:rsidR="00A17469" w:rsidRPr="00C30EF9" w:rsidP="0087196B" w14:paraId="7D23CCCC" w14:textId="77777777">
      <w:pPr>
        <w:pStyle w:val="WAuditHeading3"/>
      </w:pPr>
      <w:r>
        <w:t>Konsernitilinpäätöksen tarkastuksen laajuuden määrittäminen</w:t>
      </w:r>
    </w:p>
    <w:p w:rsidR="00EB7A49" w:rsidRPr="00C30EF9" w:rsidP="00EB7A49" w14:paraId="61749788" w14:textId="77777777">
      <w:pPr>
        <w:pStyle w:val="BodyText"/>
      </w:pPr>
      <w:r>
        <w:t>Tilinta</w:t>
      </w:r>
      <w:r>
        <w:t>rkastuksemme laajuutta määrittäessämme o</w:t>
      </w:r>
      <w:r w:rsidRPr="00C30EF9">
        <w:t>lemme otta</w:t>
      </w:r>
      <w:r>
        <w:t>neet huomioon</w:t>
      </w:r>
      <w:r w:rsidRPr="00C30EF9">
        <w:t xml:space="preserve"> </w:t>
      </w:r>
      <w:r>
        <w:t>Wärtsilä</w:t>
      </w:r>
      <w:r w:rsidRPr="00C30EF9">
        <w:t>-konsernin rakenteen</w:t>
      </w:r>
      <w:r>
        <w:t xml:space="preserve"> sekä yksittäisten konserniyhtiöiden koon, toiminnan luonteen ja riskit. Valitsimme tilintarkastuksen kohteeksi konserniyhtiöitä ja kirjanpidon tilejä edellä mainit</w:t>
      </w:r>
      <w:r>
        <w:t xml:space="preserve">tujen kriteerien perusteella </w:t>
      </w:r>
      <w:r>
        <w:t xml:space="preserve">siten, että suorittamillamme tilintarkastustoimenpiteillä saatiin riittävä kattavuus lausunnon esittämiseksi konsernitilinpäätöksestä. </w:t>
      </w:r>
    </w:p>
    <w:p w:rsidR="00F17E50" w:rsidRPr="00C30EF9" w:rsidP="0087196B" w14:paraId="50E62C20" w14:textId="77777777">
      <w:pPr>
        <w:pStyle w:val="WAuditHeading2"/>
      </w:pPr>
      <w:r w:rsidRPr="00C30EF9">
        <w:t xml:space="preserve">Tilintarkastuksen kannalta keskeiset seikat </w:t>
      </w:r>
    </w:p>
    <w:p w:rsidR="00F17E50" w:rsidP="00F17E50" w14:paraId="29379ACC" w14:textId="77777777">
      <w:pPr>
        <w:pStyle w:val="BodyText"/>
      </w:pPr>
      <w:r w:rsidRPr="00C30EF9">
        <w:t>Tilintarkastuksen kannalta keskeiset seikat ovat seikkoja, jotka ammatillisen harkintamme mukaan ovat olleet merkittävimpiä tarkastuksen kohteena olevan tilikauden tilintarkastuksessa. Nämä seikat on otettu huomioon tilinpäätökseen kokonaisuutena kohdistun</w:t>
      </w:r>
      <w:r w:rsidRPr="00C30EF9">
        <w:t>eessa tilintarkastuksessamme sekä laatiessamme siitä annettavaa lausuntoa, emmekä anna näistä seikoista erillistä lausuntoa.</w:t>
      </w:r>
    </w:p>
    <w:p w:rsidR="00CA5894" w:rsidRPr="00C30EF9" w:rsidP="00F17E50" w14:paraId="553A4F69" w14:textId="77777777">
      <w:pPr>
        <w:pStyle w:val="BodyText"/>
      </w:pPr>
      <w:r>
        <w:t xml:space="preserve">Otamme </w:t>
      </w:r>
      <w:r w:rsidR="00A055A5">
        <w:t xml:space="preserve">kaikissa </w:t>
      </w:r>
      <w:r>
        <w:t>tilintarkastuks</w:t>
      </w:r>
      <w:r w:rsidR="00A055A5">
        <w:t>i</w:t>
      </w:r>
      <w:r>
        <w:t>ssamme huomioon riskin siitä, että johto sivuuttaa kontrolleja. Tähän sisältyy arviointi siitä, onk</w:t>
      </w:r>
      <w:r>
        <w:t>o viitteitä sellaisesta johdon tarkoitushakuisesta suhtautumisesta, josta aiheutuu väärinkäytöksestä johtuvan olennaisen virheellisyyden riski.</w:t>
      </w:r>
    </w:p>
    <w:tbl>
      <w:tblPr>
        <w:tblStyle w:val="PwCTableFigures"/>
        <w:tblW w:w="7776" w:type="dxa"/>
        <w:tblLook w:val="04A0"/>
      </w:tblPr>
      <w:tblGrid>
        <w:gridCol w:w="3600"/>
        <w:gridCol w:w="4032"/>
        <w:gridCol w:w="144"/>
      </w:tblGrid>
      <w:tr w14:paraId="6D2B2202" w14:textId="77777777" w:rsidTr="003A0BC0">
        <w:tblPrEx>
          <w:tblW w:w="7776" w:type="dxa"/>
          <w:tblLook w:val="04A0"/>
        </w:tblPrEx>
        <w:trPr>
          <w:gridAfter w:val="1"/>
          <w:wAfter w:w="144" w:type="dxa"/>
        </w:trPr>
        <w:tc>
          <w:tcPr>
            <w:tcW w:w="3600" w:type="dxa"/>
            <w:tcBorders>
              <w:top w:val="nil"/>
              <w:bottom w:val="nil"/>
            </w:tcBorders>
            <w:shd w:val="clear" w:color="auto" w:fill="DC6900"/>
          </w:tcPr>
          <w:p w:rsidR="00F17E50" w:rsidRPr="00C30EF9" w:rsidP="003C0E8D" w14:paraId="39055E0A" w14:textId="77777777">
            <w:pPr>
              <w:pStyle w:val="TableBody"/>
              <w:rPr>
                <w:color w:val="E7E6E6" w:themeColor="background2"/>
              </w:rPr>
            </w:pPr>
            <w:r>
              <w:rPr>
                <w:color w:val="E7E6E6" w:themeColor="background2"/>
              </w:rPr>
              <w:t>Konsernitilinpäätöksen t</w:t>
            </w:r>
            <w:r w:rsidRPr="00C30EF9">
              <w:rPr>
                <w:color w:val="E7E6E6" w:themeColor="background2"/>
              </w:rPr>
              <w:t>ilintarkastuksen kannalta keskeinen seikka</w:t>
            </w:r>
          </w:p>
        </w:tc>
        <w:tc>
          <w:tcPr>
            <w:tcW w:w="4032" w:type="dxa"/>
            <w:tcBorders>
              <w:top w:val="nil"/>
              <w:bottom w:val="nil"/>
            </w:tcBorders>
            <w:shd w:val="clear" w:color="auto" w:fill="DC6900"/>
          </w:tcPr>
          <w:p w:rsidR="00F17E50" w:rsidRPr="00C30EF9" w:rsidP="003C0E8D" w14:paraId="1DF578E1" w14:textId="77777777">
            <w:pPr>
              <w:pStyle w:val="TableBody"/>
              <w:rPr>
                <w:color w:val="E7E6E6" w:themeColor="background2"/>
              </w:rPr>
            </w:pPr>
            <w:r w:rsidRPr="00C30EF9">
              <w:rPr>
                <w:color w:val="E7E6E6" w:themeColor="background2"/>
              </w:rPr>
              <w:t>Miten seikkaa on käsitelty tilintarkastuksess</w:t>
            </w:r>
            <w:r w:rsidRPr="00C30EF9">
              <w:rPr>
                <w:color w:val="E7E6E6" w:themeColor="background2"/>
              </w:rPr>
              <w:t>a</w:t>
            </w:r>
          </w:p>
        </w:tc>
      </w:tr>
      <w:tr w14:paraId="6FE5415C" w14:textId="77777777" w:rsidTr="003A0BC0">
        <w:tblPrEx>
          <w:tblW w:w="7776" w:type="dxa"/>
          <w:tblLook w:val="04A0"/>
        </w:tblPrEx>
        <w:trPr>
          <w:gridAfter w:val="1"/>
          <w:wAfter w:w="144" w:type="dxa"/>
        </w:trPr>
        <w:tc>
          <w:tcPr>
            <w:tcW w:w="3600" w:type="dxa"/>
            <w:tcBorders>
              <w:top w:val="nil"/>
              <w:bottom w:val="dotted" w:sz="4" w:space="0" w:color="DB6900"/>
            </w:tcBorders>
          </w:tcPr>
          <w:p w:rsidR="0009561B" w:rsidRPr="007303DA" w:rsidP="0009561B" w14:paraId="2AC49180" w14:textId="77777777">
            <w:pPr>
              <w:pStyle w:val="TableBody"/>
              <w:rPr>
                <w:i/>
                <w:color w:val="DC6900"/>
              </w:rPr>
            </w:pPr>
            <w:r w:rsidRPr="007303DA">
              <w:rPr>
                <w:i/>
                <w:color w:val="DC6900"/>
              </w:rPr>
              <w:t>Pitkäaikaisten asiakassopimusten tuloutus</w:t>
            </w:r>
          </w:p>
          <w:p w:rsidR="0009561B" w:rsidRPr="0009561B" w:rsidP="00494386" w14:paraId="520EAF32" w14:textId="77777777">
            <w:pPr>
              <w:pStyle w:val="TableBody"/>
              <w:numPr>
                <w:ilvl w:val="0"/>
                <w:numId w:val="5"/>
              </w:numPr>
              <w:suppressAutoHyphens/>
              <w:rPr>
                <w:i/>
              </w:rPr>
            </w:pPr>
            <w:r w:rsidRPr="00907FD2">
              <w:rPr>
                <w:i/>
              </w:rPr>
              <w:t>K</w:t>
            </w:r>
            <w:r>
              <w:rPr>
                <w:i/>
              </w:rPr>
              <w:t>atso k</w:t>
            </w:r>
            <w:r w:rsidRPr="00907FD2">
              <w:rPr>
                <w:i/>
              </w:rPr>
              <w:t>onsernitilinpäätöksen</w:t>
            </w:r>
            <w:r>
              <w:rPr>
                <w:i/>
              </w:rPr>
              <w:t xml:space="preserve"> </w:t>
            </w:r>
            <w:r w:rsidR="004E6C8E">
              <w:rPr>
                <w:i/>
              </w:rPr>
              <w:t>liitetie</w:t>
            </w:r>
            <w:r w:rsidR="000C7B5D">
              <w:rPr>
                <w:i/>
              </w:rPr>
              <w:t>to 2.2</w:t>
            </w:r>
            <w:r w:rsidRPr="00907FD2">
              <w:rPr>
                <w:i/>
              </w:rPr>
              <w:t>.</w:t>
            </w:r>
          </w:p>
          <w:p w:rsidR="0009561B" w:rsidP="00925CF6" w14:paraId="1863E6E3" w14:textId="77777777">
            <w:pPr>
              <w:pStyle w:val="TableBody"/>
            </w:pPr>
            <w:r>
              <w:t>Konsernilla on merkittäviä pitkäaikaishankkeita sekä pitkäaikaisia käyttö- ja huoltosopi</w:t>
            </w:r>
            <w:r w:rsidR="005F7DFB">
              <w:t>muksia. Nämä pitkäaikaiset asiakassopimukset</w:t>
            </w:r>
            <w:r>
              <w:t xml:space="preserve"> ovat usein monimutkaisia räätälöityjä ratkaisuja ja täyttävät </w:t>
            </w:r>
            <w:r w:rsidR="005F7DFB">
              <w:t xml:space="preserve">ajan kuluessa täytettävän suoritevelvoitteen </w:t>
            </w:r>
            <w:r w:rsidR="005F7DFB">
              <w:t>määritelmän IFRS 15:n mukaan</w:t>
            </w:r>
            <w:r>
              <w:t xml:space="preserve">. </w:t>
            </w:r>
          </w:p>
          <w:p w:rsidR="00261D76" w:rsidP="0009561B" w14:paraId="4B9D3E26" w14:textId="77777777">
            <w:pPr>
              <w:autoSpaceDE w:val="0"/>
              <w:autoSpaceDN w:val="0"/>
              <w:adjustRightInd w:val="0"/>
              <w:spacing w:after="0" w:line="240" w:lineRule="auto"/>
              <w:rPr>
                <w:rFonts w:cs="Georgia,Italic"/>
                <w:iCs/>
                <w:szCs w:val="19"/>
                <w:lang w:val="fi-FI"/>
              </w:rPr>
            </w:pPr>
          </w:p>
          <w:p w:rsidR="0009561B" w:rsidP="00925CF6" w14:paraId="6A660DAC" w14:textId="77777777">
            <w:pPr>
              <w:pStyle w:val="TableBody"/>
            </w:pPr>
            <w:r w:rsidRPr="00C04CB7">
              <w:t xml:space="preserve">Pitkäaikaishankkeet sekä pitkäaikaiset käyttö- ja huoltosopimukset tuloutetaan </w:t>
            </w:r>
            <w:r w:rsidR="005F7DFB">
              <w:t>suoritevelvoitteen täyttämisasteen (</w:t>
            </w:r>
            <w:r w:rsidR="00A0680A">
              <w:t xml:space="preserve">projektin </w:t>
            </w:r>
            <w:r w:rsidR="005F7DFB">
              <w:t>valmiusaste)</w:t>
            </w:r>
            <w:r w:rsidRPr="00C04CB7">
              <w:t xml:space="preserve"> mukaisesti. </w:t>
            </w:r>
            <w:r w:rsidR="005F7DFB">
              <w:t>V</w:t>
            </w:r>
            <w:r w:rsidRPr="00C04CB7">
              <w:t>almiusaste</w:t>
            </w:r>
            <w:r w:rsidR="00261D76">
              <w:t xml:space="preserve"> </w:t>
            </w:r>
            <w:r w:rsidR="008846B9">
              <w:t>määritetään</w:t>
            </w:r>
            <w:r w:rsidRPr="00C04CB7">
              <w:t xml:space="preserve"> toteutuneiden kustannusten suhteena arvioituihin kokonaiskustannuksiin.</w:t>
            </w:r>
            <w:r w:rsidR="00261D76">
              <w:t xml:space="preserve"> </w:t>
            </w:r>
            <w:r>
              <w:t>Pitkäa</w:t>
            </w:r>
            <w:r w:rsidR="008846B9">
              <w:t>ikaisten asiakassopimusten</w:t>
            </w:r>
            <w:r>
              <w:t xml:space="preserve"> tuloutukseen liittyy johdon harkintaan perustuvia arvioita, jotka perustuvat aikaisempaan kok</w:t>
            </w:r>
            <w:r>
              <w:t>emukseen ja tulevaisuuden tapahtumia koskeviin odotuksiin. Me</w:t>
            </w:r>
            <w:r w:rsidR="00A0680A">
              <w:t>rkittävin arvio liittyy projektin</w:t>
            </w:r>
            <w:r>
              <w:t xml:space="preserve"> ennustettuihin kokonaiskustannuksiin</w:t>
            </w:r>
            <w:r w:rsidR="007074AA">
              <w:t>.</w:t>
            </w:r>
            <w:r>
              <w:t xml:space="preserve"> </w:t>
            </w:r>
          </w:p>
          <w:p w:rsidR="00261D76" w:rsidP="0009561B" w14:paraId="68275F77" w14:textId="77777777">
            <w:pPr>
              <w:autoSpaceDE w:val="0"/>
              <w:autoSpaceDN w:val="0"/>
              <w:adjustRightInd w:val="0"/>
              <w:spacing w:after="0" w:line="240" w:lineRule="auto"/>
              <w:rPr>
                <w:rFonts w:cs="Georgia,Italic"/>
                <w:iCs/>
                <w:szCs w:val="19"/>
                <w:lang w:val="fi-FI"/>
              </w:rPr>
            </w:pPr>
          </w:p>
          <w:p w:rsidR="0009561B" w:rsidRPr="00C04CB7" w:rsidP="00925CF6" w14:paraId="49864C38" w14:textId="77777777">
            <w:pPr>
              <w:pStyle w:val="TableBody"/>
              <w:rPr>
                <w:i/>
                <w:color w:val="DD6900"/>
              </w:rPr>
            </w:pPr>
            <w:r>
              <w:t>Pitkäaikais</w:t>
            </w:r>
            <w:r w:rsidR="00B24231">
              <w:t>ten asiakassopimusten</w:t>
            </w:r>
            <w:r>
              <w:t xml:space="preserve"> tuloutus on tilintarkastuksen kannalta keskeinen seikka johtuen johdon harkintaan perustuvasta arvionvaraisuudesta projektiestimaateissa.</w:t>
            </w:r>
          </w:p>
        </w:tc>
        <w:tc>
          <w:tcPr>
            <w:tcW w:w="4032" w:type="dxa"/>
            <w:tcBorders>
              <w:top w:val="nil"/>
              <w:bottom w:val="dotted" w:sz="4" w:space="0" w:color="DB6900"/>
            </w:tcBorders>
          </w:tcPr>
          <w:p w:rsidR="00494386" w:rsidP="00494386" w14:paraId="4026E114" w14:textId="77777777">
            <w:pPr>
              <w:pStyle w:val="TableBody"/>
              <w:suppressAutoHyphens/>
            </w:pPr>
          </w:p>
          <w:p w:rsidR="00DE2DA5" w:rsidP="00494386" w14:paraId="2E9582D9" w14:textId="77777777">
            <w:pPr>
              <w:pStyle w:val="TableBody"/>
              <w:suppressAutoHyphens/>
            </w:pPr>
            <w:r w:rsidRPr="0009561B">
              <w:t>Tilintarkastustoimenpiteemme sisälsivät sekä kontrollien tarkastusta, että valittuihin merkittäviin pitkäaikaishankk</w:t>
            </w:r>
            <w:r w:rsidRPr="0009561B">
              <w:t xml:space="preserve">eisiin kohdistettua aineistotarkastusta. </w:t>
            </w:r>
            <w:r w:rsidRPr="00F61A18">
              <w:t>Aineistotarkastuksessa keskityimme erityisesti johdon laatim</w:t>
            </w:r>
            <w:r w:rsidR="00A84628">
              <w:t xml:space="preserve">ien ennusteiden tarkastamiseen. </w:t>
            </w:r>
          </w:p>
          <w:p w:rsidR="0009561B" w:rsidRPr="00E66D9F" w:rsidP="00494386" w14:paraId="38C99CB8" w14:textId="77777777">
            <w:pPr>
              <w:pStyle w:val="TableBody"/>
              <w:suppressAutoHyphens/>
            </w:pPr>
            <w:r>
              <w:t>Ta</w:t>
            </w:r>
            <w:r w:rsidRPr="00E66D9F">
              <w:t>rkastustoimenpiteemme sisälsivät mm. seu</w:t>
            </w:r>
            <w:r w:rsidRPr="00E66D9F" w:rsidR="00D74F60">
              <w:t>raavia toimenpiteitä</w:t>
            </w:r>
            <w:r w:rsidRPr="00E66D9F">
              <w:t>:</w:t>
            </w:r>
          </w:p>
          <w:p w:rsidR="0009561B" w:rsidRPr="00F61A18" w:rsidP="00494386" w14:paraId="298E092D" w14:textId="77777777">
            <w:pPr>
              <w:pStyle w:val="TableBody"/>
              <w:numPr>
                <w:ilvl w:val="0"/>
                <w:numId w:val="7"/>
              </w:numPr>
              <w:suppressAutoHyphens/>
            </w:pPr>
            <w:r w:rsidRPr="00F61A18">
              <w:t>Varmistimme, että sovellettu tuloutustapa on asianmukainen</w:t>
            </w:r>
            <w:r w:rsidRPr="00F61A18">
              <w:t xml:space="preserve"> sopimuksen ehdot huomioiden;</w:t>
            </w:r>
          </w:p>
          <w:p w:rsidR="0009561B" w:rsidP="00494386" w14:paraId="4902BE04" w14:textId="77777777">
            <w:pPr>
              <w:pStyle w:val="TableBody"/>
              <w:numPr>
                <w:ilvl w:val="0"/>
                <w:numId w:val="7"/>
              </w:numPr>
              <w:suppressAutoHyphens/>
            </w:pPr>
            <w:r w:rsidRPr="00F61A18">
              <w:t>Täsmäytimme tuottoennusteen myyntisopimukseen huomioiden sopimukseen mahdollisesti tehdyt muutokset;</w:t>
            </w:r>
          </w:p>
          <w:p w:rsidR="007F5932" w:rsidP="007F5932" w14:paraId="094081EA" w14:textId="77777777">
            <w:pPr>
              <w:pStyle w:val="TableBody"/>
              <w:numPr>
                <w:ilvl w:val="0"/>
                <w:numId w:val="7"/>
              </w:numPr>
              <w:suppressAutoHyphens/>
            </w:pPr>
            <w:r>
              <w:t xml:space="preserve">Hankimme ymmärryksen prosesseista ja </w:t>
            </w:r>
            <w:r w:rsidR="00C92FE1">
              <w:t xml:space="preserve">testasimme </w:t>
            </w:r>
            <w:r>
              <w:t>kontroll</w:t>
            </w:r>
            <w:r w:rsidR="00C92FE1">
              <w:t>it</w:t>
            </w:r>
            <w:r>
              <w:t>, joil</w:t>
            </w:r>
            <w:r w:rsidR="0039239E">
              <w:t>la on merkittävä vaikutus valmius</w:t>
            </w:r>
            <w:r>
              <w:t>asteen mukaiseen tuloutuksee</w:t>
            </w:r>
            <w:r>
              <w:t>n</w:t>
            </w:r>
            <w:r w:rsidR="00D114C3">
              <w:t>;</w:t>
            </w:r>
          </w:p>
          <w:p w:rsidR="007F5932" w:rsidP="007F5932" w14:paraId="0AC4950D" w14:textId="77777777">
            <w:pPr>
              <w:pStyle w:val="TableBody"/>
              <w:numPr>
                <w:ilvl w:val="0"/>
                <w:numId w:val="7"/>
              </w:numPr>
              <w:suppressAutoHyphens/>
            </w:pPr>
            <w:r>
              <w:t xml:space="preserve">Arvioimme johdon tekemien projektiestimaattien </w:t>
            </w:r>
            <w:r w:rsidR="00C92FE1">
              <w:t xml:space="preserve">luotettavuutta </w:t>
            </w:r>
            <w:r w:rsidR="0056698B">
              <w:t>vertaamalla</w:t>
            </w:r>
            <w:r w:rsidR="00C92FE1">
              <w:t xml:space="preserve"> </w:t>
            </w:r>
            <w:r w:rsidR="00760CF5">
              <w:t>päätt</w:t>
            </w:r>
            <w:r w:rsidR="0056698B">
              <w:t>yneiden projektien toteumia aiempiin estimaatteihin</w:t>
            </w:r>
            <w:r w:rsidR="00C92FE1">
              <w:t xml:space="preserve">; </w:t>
            </w:r>
          </w:p>
          <w:p w:rsidR="0009561B" w:rsidRPr="00F61A18" w:rsidP="00C92FE1" w14:paraId="3296B930" w14:textId="77777777">
            <w:pPr>
              <w:pStyle w:val="TableBody"/>
              <w:numPr>
                <w:ilvl w:val="0"/>
                <w:numId w:val="7"/>
              </w:numPr>
              <w:suppressAutoHyphens/>
            </w:pPr>
            <w:r>
              <w:t xml:space="preserve">Haastoimme johdon </w:t>
            </w:r>
            <w:r w:rsidR="00D114C3">
              <w:t xml:space="preserve">tekemiä arvioita ja oletuksia </w:t>
            </w:r>
            <w:r>
              <w:t xml:space="preserve"> projektei</w:t>
            </w:r>
            <w:r w:rsidR="00512B87">
              <w:t>ssa</w:t>
            </w:r>
            <w:r>
              <w:t>, joihin liittyy erityisiä riskitekijöitä</w:t>
            </w:r>
            <w:r w:rsidR="00C92FE1">
              <w:t>;</w:t>
            </w:r>
            <w:r w:rsidR="00E66D9F">
              <w:t xml:space="preserve"> </w:t>
            </w:r>
            <w:r w:rsidRPr="00F61A18">
              <w:t>ja</w:t>
            </w:r>
          </w:p>
          <w:p w:rsidR="0009561B" w:rsidRPr="00E000D9" w:rsidP="0039239E" w14:paraId="5B4B3962" w14:textId="77777777">
            <w:pPr>
              <w:pStyle w:val="TableBody"/>
              <w:numPr>
                <w:ilvl w:val="0"/>
                <w:numId w:val="7"/>
              </w:numPr>
              <w:suppressAutoHyphens/>
            </w:pPr>
            <w:r w:rsidRPr="00F61A18">
              <w:t>Laskimme m</w:t>
            </w:r>
            <w:r w:rsidR="0039239E">
              <w:t>yyntituoton uudelleen valmiu</w:t>
            </w:r>
            <w:r w:rsidRPr="00F61A18">
              <w:t>sasteen per</w:t>
            </w:r>
            <w:r w:rsidR="0039239E">
              <w:t>usteella. Tarkastimme valmiu</w:t>
            </w:r>
            <w:r w:rsidRPr="00F61A18">
              <w:t>sasteen oikeellisuuden vertaamalla hankkeen toteutuneita menoja hankkeen ennustettuihin kokonaismenoihin.</w:t>
            </w:r>
          </w:p>
        </w:tc>
      </w:tr>
      <w:tr w14:paraId="1C27F3E7" w14:textId="77777777" w:rsidTr="009B0A77">
        <w:tblPrEx>
          <w:tblW w:w="7776" w:type="dxa"/>
          <w:tblLook w:val="04A0"/>
        </w:tblPrEx>
        <w:trPr>
          <w:gridAfter w:val="1"/>
          <w:wAfter w:w="144" w:type="dxa"/>
          <w:trHeight w:val="2592"/>
        </w:trPr>
        <w:tc>
          <w:tcPr>
            <w:tcW w:w="3600" w:type="dxa"/>
            <w:tcBorders>
              <w:top w:val="dotted" w:sz="4" w:space="0" w:color="DB6900"/>
              <w:bottom w:val="dotted" w:sz="4" w:space="0" w:color="DB6900"/>
            </w:tcBorders>
          </w:tcPr>
          <w:p w:rsidR="0009561B" w:rsidRPr="007303DA" w:rsidP="0009561B" w14:paraId="490961AE" w14:textId="77777777">
            <w:pPr>
              <w:pStyle w:val="TableBody"/>
              <w:rPr>
                <w:i/>
                <w:color w:val="DC6900"/>
              </w:rPr>
            </w:pPr>
            <w:r w:rsidRPr="007303DA">
              <w:rPr>
                <w:i/>
                <w:color w:val="DC6900"/>
              </w:rPr>
              <w:t>Liikearvon arvostus</w:t>
            </w:r>
          </w:p>
          <w:p w:rsidR="00EA3629" w:rsidRPr="0009561B" w:rsidP="00EA3629" w14:paraId="07F52269" w14:textId="77777777">
            <w:pPr>
              <w:pStyle w:val="TableBody"/>
              <w:numPr>
                <w:ilvl w:val="0"/>
                <w:numId w:val="5"/>
              </w:numPr>
              <w:suppressAutoHyphens/>
              <w:rPr>
                <w:i/>
              </w:rPr>
            </w:pPr>
            <w:r w:rsidRPr="00907FD2">
              <w:rPr>
                <w:i/>
              </w:rPr>
              <w:t>K</w:t>
            </w:r>
            <w:r>
              <w:rPr>
                <w:i/>
              </w:rPr>
              <w:t>atso k</w:t>
            </w:r>
            <w:r w:rsidRPr="00907FD2">
              <w:rPr>
                <w:i/>
              </w:rPr>
              <w:t>onsernitilinpäätöksen</w:t>
            </w:r>
            <w:r>
              <w:rPr>
                <w:i/>
              </w:rPr>
              <w:t xml:space="preserve"> </w:t>
            </w:r>
            <w:r w:rsidR="000C7B5D">
              <w:rPr>
                <w:i/>
              </w:rPr>
              <w:t>l</w:t>
            </w:r>
            <w:r>
              <w:rPr>
                <w:i/>
              </w:rPr>
              <w:t>iitetieto</w:t>
            </w:r>
            <w:r w:rsidR="0039239E">
              <w:rPr>
                <w:i/>
              </w:rPr>
              <w:t xml:space="preserve"> </w:t>
            </w:r>
            <w:r w:rsidR="000C7B5D">
              <w:rPr>
                <w:i/>
              </w:rPr>
              <w:t>3.1</w:t>
            </w:r>
            <w:r w:rsidRPr="00907FD2">
              <w:rPr>
                <w:i/>
              </w:rPr>
              <w:t>.</w:t>
            </w:r>
          </w:p>
          <w:p w:rsidR="00EE4D92" w:rsidP="00F80890" w14:paraId="6235D395" w14:textId="77777777">
            <w:pPr>
              <w:pStyle w:val="TableBody"/>
            </w:pPr>
            <w:r>
              <w:t>Liikearvon määrä konsernitaseessa on</w:t>
            </w:r>
            <w:r w:rsidR="005A17CE">
              <w:t xml:space="preserve"> 1 3</w:t>
            </w:r>
            <w:r w:rsidR="009A21E0">
              <w:t>25</w:t>
            </w:r>
            <w:r>
              <w:t xml:space="preserve"> miljoonaa euroa ja se on yksi merkittävimmistä tase-eristä.  Mahdollisen a</w:t>
            </w:r>
            <w:r w:rsidRPr="00223151">
              <w:t>rvonalen</w:t>
            </w:r>
            <w:r>
              <w:t>tumisen</w:t>
            </w:r>
            <w:r w:rsidR="00F61A18">
              <w:t xml:space="preserve"> </w:t>
            </w:r>
            <w:r w:rsidR="00497467">
              <w:t xml:space="preserve">määrittämiseen </w:t>
            </w:r>
            <w:r w:rsidRPr="00223151" w:rsidR="00497467">
              <w:t>liittyy merkittäv</w:t>
            </w:r>
            <w:r w:rsidR="00497467">
              <w:t>issä määrin johdon harkintaa, mm.</w:t>
            </w:r>
            <w:r w:rsidR="00F61A18">
              <w:t xml:space="preserve"> kassavirtaa tuottavan yksikön eli testaustason</w:t>
            </w:r>
            <w:r w:rsidR="00497467">
              <w:t xml:space="preserve"> määrittämiseen ja</w:t>
            </w:r>
            <w:r>
              <w:t xml:space="preserve"> arvioitaessa</w:t>
            </w:r>
            <w:r w:rsidRPr="00223151">
              <w:t xml:space="preserve"> liiketoiminnan tule</w:t>
            </w:r>
            <w:r>
              <w:t>vaa kannattavuutta</w:t>
            </w:r>
            <w:r w:rsidRPr="00223151">
              <w:t xml:space="preserve"> ja tulevaisuudessa toteutuviin rahavirtoihin</w:t>
            </w:r>
            <w:r>
              <w:t xml:space="preserve"> sovellettavaa diskonttokorkoa.</w:t>
            </w:r>
          </w:p>
          <w:p w:rsidR="0009561B" w:rsidRPr="004C47C2" w:rsidP="00EE4D92" w14:paraId="4602F93C" w14:textId="77777777">
            <w:pPr>
              <w:pStyle w:val="TableBody"/>
            </w:pPr>
            <w:r>
              <w:rPr>
                <w:rFonts w:cs="Georgia,Italic"/>
                <w:iCs/>
                <w:szCs w:val="19"/>
              </w:rPr>
              <w:t>Liikearvon arvostus on tilintarkastuksen kannalta keskeinen seikka johtuen tase-erän koosta ja johdon harkinta</w:t>
            </w:r>
            <w:r>
              <w:rPr>
                <w:rFonts w:cs="Georgia,Italic"/>
                <w:iCs/>
                <w:szCs w:val="19"/>
              </w:rPr>
              <w:t>an perustuvasta arvionvaraisuudesta arvonalentumistestauksessa.</w:t>
            </w:r>
          </w:p>
        </w:tc>
        <w:tc>
          <w:tcPr>
            <w:tcW w:w="4032" w:type="dxa"/>
            <w:tcBorders>
              <w:top w:val="dotted" w:sz="4" w:space="0" w:color="DB6900"/>
              <w:bottom w:val="dotted" w:sz="4" w:space="0" w:color="DB6900"/>
            </w:tcBorders>
          </w:tcPr>
          <w:p w:rsidR="002B096E" w:rsidRPr="005E2B4C" w:rsidP="002B096E" w14:paraId="7B20412B" w14:textId="77777777">
            <w:pPr>
              <w:pStyle w:val="TableBody"/>
              <w:numPr>
                <w:ilvl w:val="0"/>
                <w:numId w:val="5"/>
              </w:numPr>
              <w:suppressAutoHyphens/>
            </w:pPr>
            <w:r>
              <w:t>Keskityimme tarkastustoimenpiteissämme</w:t>
            </w:r>
            <w:r w:rsidR="00145434">
              <w:t xml:space="preserve"> arvioimaan </w:t>
            </w:r>
            <w:r w:rsidR="00927CD2">
              <w:t xml:space="preserve"> </w:t>
            </w:r>
            <w:r w:rsidR="00B21AB7">
              <w:t>miten kassavirtaa tuottavat yksiköt, jotka muodostavat perustan liikearvon arvonalentumistestaukselle, on määritetty. Lisäksi keskityimme</w:t>
            </w:r>
            <w:r>
              <w:t xml:space="preserve"> joh</w:t>
            </w:r>
            <w:r>
              <w:t xml:space="preserve">don harkintaa edellyttävien arvioiden asianmukaisuuden </w:t>
            </w:r>
            <w:r w:rsidR="00B21AB7">
              <w:t xml:space="preserve">arviointiin arvonalentumistestauksessa. </w:t>
            </w:r>
            <w:r w:rsidR="0019007A">
              <w:t>Arvonalentumistestaukseen liittyviin tarkastust</w:t>
            </w:r>
            <w:r w:rsidR="00B21AB7">
              <w:t>oimenpiteisiimme sisältyi mm. seuraavaa:</w:t>
            </w:r>
          </w:p>
          <w:p w:rsidR="002B096E" w:rsidRPr="00D77E2A" w:rsidP="002B096E" w14:paraId="1F710EAD" w14:textId="77777777">
            <w:pPr>
              <w:pStyle w:val="TableBody"/>
              <w:numPr>
                <w:ilvl w:val="0"/>
                <w:numId w:val="8"/>
              </w:numPr>
              <w:suppressAutoHyphens/>
            </w:pPr>
            <w:r>
              <w:t>Tarkastimme</w:t>
            </w:r>
            <w:r w:rsidRPr="00D77E2A">
              <w:t xml:space="preserve"> </w:t>
            </w:r>
            <w:r w:rsidR="00B21AB7">
              <w:t>liikearvon arvonalentumistestauksessa</w:t>
            </w:r>
            <w:r w:rsidRPr="00D77E2A">
              <w:t xml:space="preserve"> käytetyt menetelmät ver</w:t>
            </w:r>
            <w:r>
              <w:t xml:space="preserve">taamalla niitä </w:t>
            </w:r>
            <w:r w:rsidRPr="00D77E2A">
              <w:t>IAS 36:n Omaisuuserien arvon alentuminen</w:t>
            </w:r>
            <w:r>
              <w:t xml:space="preserve"> -standardin</w:t>
            </w:r>
            <w:r w:rsidRPr="00D77E2A">
              <w:t xml:space="preserve"> </w:t>
            </w:r>
            <w:r>
              <w:t>mukaisiin vaatimuksiin</w:t>
            </w:r>
            <w:r w:rsidRPr="00D77E2A">
              <w:t>;</w:t>
            </w:r>
          </w:p>
          <w:p w:rsidR="002B096E" w:rsidRPr="00D77E2A" w:rsidP="002B096E" w14:paraId="4F4CC6A8" w14:textId="77777777">
            <w:pPr>
              <w:pStyle w:val="TableBody"/>
              <w:numPr>
                <w:ilvl w:val="0"/>
                <w:numId w:val="8"/>
              </w:numPr>
              <w:suppressAutoHyphens/>
            </w:pPr>
            <w:r>
              <w:t>Arvioimme</w:t>
            </w:r>
            <w:r w:rsidRPr="00D77E2A">
              <w:t xml:space="preserve"> rahavirtaennusteiden laati</w:t>
            </w:r>
            <w:r>
              <w:t>misessa käytettävää prosessia ja</w:t>
            </w:r>
            <w:r w:rsidRPr="00D77E2A">
              <w:t xml:space="preserve"> te</w:t>
            </w:r>
            <w:r>
              <w:t>imme</w:t>
            </w:r>
            <w:r w:rsidRPr="00D77E2A">
              <w:t xml:space="preserve"> vertailuja viimeisimpiin hall</w:t>
            </w:r>
            <w:r>
              <w:t>ituksen hyväksymiin tavoitteisiin ja pitkän aikavälin suunn</w:t>
            </w:r>
            <w:r>
              <w:t>itelmiin</w:t>
            </w:r>
            <w:r w:rsidRPr="00D77E2A">
              <w:t>;</w:t>
            </w:r>
          </w:p>
          <w:p w:rsidR="002B096E" w:rsidRPr="00D77E2A" w:rsidP="002B096E" w14:paraId="4F6E03A1" w14:textId="77777777">
            <w:pPr>
              <w:pStyle w:val="TableBody"/>
              <w:numPr>
                <w:ilvl w:val="0"/>
                <w:numId w:val="8"/>
              </w:numPr>
              <w:suppressAutoHyphens/>
            </w:pPr>
            <w:r>
              <w:t>Testasimme</w:t>
            </w:r>
            <w:r w:rsidRPr="00D77E2A">
              <w:t xml:space="preserve"> rahavirtaennusteiden perusteena olevat keskeiset oletukset, </w:t>
            </w:r>
            <w:r>
              <w:t xml:space="preserve">joita ovat mm. </w:t>
            </w:r>
            <w:r w:rsidRPr="00D77E2A">
              <w:t>myyntiä ja kannattavuutta koskevat ennusteet, käytetty diskonttokorko sekä ennusteja</w:t>
            </w:r>
            <w:r>
              <w:t xml:space="preserve">kson jälkeiseen aikaan sovellettu </w:t>
            </w:r>
            <w:r w:rsidRPr="00D77E2A">
              <w:t>k</w:t>
            </w:r>
            <w:r>
              <w:t>asvuprosentti</w:t>
            </w:r>
            <w:r w:rsidRPr="00D77E2A">
              <w:t>;</w:t>
            </w:r>
          </w:p>
          <w:p w:rsidR="002B096E" w:rsidRPr="00616CC4" w:rsidP="002B096E" w14:paraId="4A8E2735" w14:textId="77777777">
            <w:pPr>
              <w:pStyle w:val="TableBody"/>
              <w:numPr>
                <w:ilvl w:val="0"/>
                <w:numId w:val="8"/>
              </w:numPr>
              <w:suppressAutoHyphens/>
            </w:pPr>
            <w:r>
              <w:t>Vertasimme</w:t>
            </w:r>
            <w:r w:rsidRPr="00616CC4">
              <w:t xml:space="preserve"> tilikauden tote</w:t>
            </w:r>
            <w:r w:rsidRPr="00616CC4">
              <w:t xml:space="preserve">utuneita tuloslukuja edellisenä vuonna </w:t>
            </w:r>
            <w:r w:rsidRPr="00616CC4">
              <w:t>arvonalentumismallissa käytettyihin  tulosennusteisiin sen selvittämiseksi, sisältyikö ennusteisiin oletuksia, jotka olivat jälkikäteen ar</w:t>
            </w:r>
            <w:r>
              <w:t>vioituina olleet optimistisia</w:t>
            </w:r>
            <w:r w:rsidRPr="00616CC4">
              <w:t>;</w:t>
            </w:r>
            <w:r w:rsidR="004E24A2">
              <w:t xml:space="preserve"> ja</w:t>
            </w:r>
          </w:p>
          <w:p w:rsidR="004741E8" w:rsidRPr="002B096E" w:rsidP="004741E8" w14:paraId="4A82EF6D" w14:textId="77777777">
            <w:pPr>
              <w:pStyle w:val="TableBody"/>
              <w:numPr>
                <w:ilvl w:val="0"/>
                <w:numId w:val="8"/>
              </w:numPr>
              <w:suppressAutoHyphens/>
            </w:pPr>
            <w:r>
              <w:t xml:space="preserve">Arvioimme </w:t>
            </w:r>
            <w:r w:rsidRPr="00D250AF">
              <w:t>johdon</w:t>
            </w:r>
            <w:r>
              <w:t xml:space="preserve"> laatimassa</w:t>
            </w:r>
            <w:r w:rsidRPr="00D250AF">
              <w:t xml:space="preserve"> herkkyysanalyys</w:t>
            </w:r>
            <w:r>
              <w:t>issä käytettyjen oletusten asianmukaisuutta, arvioimalla niihin sisältyvien johdon harkintaa vaativien olettamusten muutosten todennäköisyyttä.</w:t>
            </w:r>
          </w:p>
        </w:tc>
      </w:tr>
      <w:tr w14:paraId="1161B7EA" w14:textId="77777777" w:rsidTr="003A0BC0">
        <w:tblPrEx>
          <w:tblW w:w="7776" w:type="dxa"/>
          <w:tblLook w:val="04A0"/>
        </w:tblPrEx>
        <w:trPr>
          <w:gridAfter w:val="1"/>
          <w:wAfter w:w="144" w:type="dxa"/>
        </w:trPr>
        <w:tc>
          <w:tcPr>
            <w:tcW w:w="3600" w:type="dxa"/>
            <w:tcBorders>
              <w:top w:val="dotted" w:sz="4" w:space="0" w:color="DB6900"/>
              <w:bottom w:val="dotted" w:sz="4" w:space="0" w:color="DB6900"/>
            </w:tcBorders>
          </w:tcPr>
          <w:p w:rsidR="0009561B" w:rsidRPr="007303DA" w:rsidP="0009561B" w14:paraId="43C4AD73" w14:textId="77777777">
            <w:pPr>
              <w:pStyle w:val="TableBody"/>
              <w:rPr>
                <w:i/>
                <w:color w:val="DC6900"/>
              </w:rPr>
            </w:pPr>
            <w:r w:rsidRPr="007303DA">
              <w:rPr>
                <w:i/>
                <w:color w:val="DC6900"/>
              </w:rPr>
              <w:t>Myyntisaamisten arvostus</w:t>
            </w:r>
          </w:p>
          <w:p w:rsidR="00795F2F" w:rsidRPr="00907FD2" w:rsidP="00795F2F" w14:paraId="6B3EE805" w14:textId="77777777">
            <w:pPr>
              <w:pStyle w:val="TableBody"/>
              <w:numPr>
                <w:ilvl w:val="0"/>
                <w:numId w:val="5"/>
              </w:numPr>
              <w:suppressAutoHyphens/>
              <w:rPr>
                <w:i/>
              </w:rPr>
            </w:pPr>
            <w:r>
              <w:rPr>
                <w:i/>
              </w:rPr>
              <w:t>Katso k</w:t>
            </w:r>
            <w:r w:rsidRPr="00907FD2">
              <w:rPr>
                <w:i/>
              </w:rPr>
              <w:t>o</w:t>
            </w:r>
            <w:r>
              <w:rPr>
                <w:i/>
              </w:rPr>
              <w:t xml:space="preserve">nsernitilinpäätöksen </w:t>
            </w:r>
            <w:r w:rsidR="00A8662A">
              <w:rPr>
                <w:i/>
              </w:rPr>
              <w:t xml:space="preserve">liitetiedot </w:t>
            </w:r>
            <w:r w:rsidR="000C7B5D">
              <w:rPr>
                <w:i/>
              </w:rPr>
              <w:t>4.2</w:t>
            </w:r>
            <w:r>
              <w:rPr>
                <w:i/>
              </w:rPr>
              <w:t>.</w:t>
            </w:r>
          </w:p>
          <w:p w:rsidR="0009561B" w:rsidP="00795F2F" w14:paraId="67580073" w14:textId="77777777">
            <w:pPr>
              <w:pStyle w:val="TableBody"/>
            </w:pPr>
            <w:r>
              <w:t xml:space="preserve">Myyntisaamiset ovat </w:t>
            </w:r>
            <w:r w:rsidR="009A21E0">
              <w:t>952</w:t>
            </w:r>
            <w:r w:rsidR="00AB7792">
              <w:t xml:space="preserve"> miljoonaa euroa, sisält</w:t>
            </w:r>
            <w:r w:rsidR="00882F71">
              <w:t>ä</w:t>
            </w:r>
            <w:r w:rsidR="00AB7792">
              <w:t xml:space="preserve">en varauksen arvonalentumistappioista </w:t>
            </w:r>
            <w:r w:rsidR="00A8662A">
              <w:t>6</w:t>
            </w:r>
            <w:r w:rsidR="00867A0D">
              <w:t>1</w:t>
            </w:r>
            <w:r w:rsidR="00AB7792">
              <w:t xml:space="preserve"> miljoonaa euroa.</w:t>
            </w:r>
            <w:r w:rsidR="00B01828">
              <w:t xml:space="preserve"> Myyn</w:t>
            </w:r>
            <w:r w:rsidR="00A8662A">
              <w:t>t</w:t>
            </w:r>
            <w:r>
              <w:t xml:space="preserve">isaamisista pitkäaikaisia on </w:t>
            </w:r>
            <w:r w:rsidR="009A21E0">
              <w:t>30</w:t>
            </w:r>
            <w:r w:rsidR="00B01828">
              <w:t xml:space="preserve"> miljoonaa euroa. </w:t>
            </w:r>
          </w:p>
          <w:p w:rsidR="00AB7792" w:rsidP="00AB7792" w14:paraId="361626B3" w14:textId="77777777">
            <w:pPr>
              <w:pStyle w:val="TableBody"/>
            </w:pPr>
            <w:r>
              <w:t>Myyntisaamiset arvostetaan käypään arvoon, joka on alkuperäinen laskutusarvo vähennettynä kysei</w:t>
            </w:r>
            <w:r>
              <w:t>ste</w:t>
            </w:r>
            <w:r w:rsidR="00E75BFF">
              <w:t xml:space="preserve">n </w:t>
            </w:r>
            <w:r>
              <w:t xml:space="preserve">saamisten arvonalentumistappioilla. </w:t>
            </w:r>
          </w:p>
          <w:p w:rsidR="0009561B" w:rsidRPr="004C47C2" w:rsidP="00AB7792" w14:paraId="0AD78296" w14:textId="77777777">
            <w:pPr>
              <w:pStyle w:val="TableBody"/>
            </w:pPr>
            <w:r>
              <w:rPr>
                <w:rFonts w:cs="Georgia,Italic"/>
                <w:iCs/>
                <w:szCs w:val="19"/>
              </w:rPr>
              <w:t>Myyntisaamisten</w:t>
            </w:r>
            <w:r w:rsidRPr="009A33B4">
              <w:rPr>
                <w:rFonts w:cs="Georgia,Italic"/>
                <w:iCs/>
                <w:szCs w:val="19"/>
              </w:rPr>
              <w:t xml:space="preserve"> arvostus on tilintarkastuksen kannalta keskeinen seikka johtuen sen määrästä ja </w:t>
            </w:r>
            <w:r>
              <w:rPr>
                <w:rFonts w:cs="Georgia,Italic"/>
                <w:iCs/>
                <w:szCs w:val="19"/>
              </w:rPr>
              <w:t>arvonalentumistappion</w:t>
            </w:r>
            <w:r w:rsidRPr="009A33B4">
              <w:rPr>
                <w:rFonts w:cs="Georgia,Italic"/>
                <w:iCs/>
                <w:szCs w:val="19"/>
              </w:rPr>
              <w:t xml:space="preserve"> määrittämiseen liittyvästä johdon harkintaan perustuvasta </w:t>
            </w:r>
            <w:r w:rsidRPr="009A33B4">
              <w:rPr>
                <w:rFonts w:cs="Georgia,Italic"/>
                <w:iCs/>
                <w:szCs w:val="19"/>
              </w:rPr>
              <w:t>arvionvaraisuudesta.</w:t>
            </w:r>
          </w:p>
        </w:tc>
        <w:tc>
          <w:tcPr>
            <w:tcW w:w="4032" w:type="dxa"/>
            <w:tcBorders>
              <w:top w:val="dotted" w:sz="4" w:space="0" w:color="DB6900"/>
              <w:bottom w:val="dotted" w:sz="4" w:space="0" w:color="DB6900"/>
            </w:tcBorders>
          </w:tcPr>
          <w:p w:rsidR="0009561B" w:rsidP="0009561B" w14:paraId="08B97B01" w14:textId="77777777">
            <w:pPr>
              <w:pStyle w:val="TableBody"/>
              <w:rPr>
                <w:i/>
              </w:rPr>
            </w:pPr>
          </w:p>
          <w:p w:rsidR="0009561B" w:rsidP="00A317BA" w14:paraId="4EB085EB" w14:textId="77777777">
            <w:pPr>
              <w:pStyle w:val="TableBody"/>
            </w:pPr>
            <w:r>
              <w:t xml:space="preserve">Myyntisaamisiin </w:t>
            </w:r>
            <w:r w:rsidR="00714F23">
              <w:t>ja johdon</w:t>
            </w:r>
            <w:r>
              <w:t xml:space="preserve"> arvioim</w:t>
            </w:r>
            <w:r w:rsidR="00A06160">
              <w:t>a</w:t>
            </w:r>
            <w:r>
              <w:t>an arvonalentumistappioon liittyvät keskeiset tarkastustoimenpiteemme olivat seuraavat:</w:t>
            </w:r>
          </w:p>
          <w:p w:rsidR="00F34682" w:rsidRPr="00893505" w:rsidP="00F34682" w14:paraId="650E56D2" w14:textId="77777777">
            <w:pPr>
              <w:pStyle w:val="TableBody"/>
              <w:numPr>
                <w:ilvl w:val="0"/>
                <w:numId w:val="8"/>
              </w:numPr>
              <w:suppressAutoHyphens/>
              <w:rPr>
                <w:i/>
              </w:rPr>
            </w:pPr>
            <w:r>
              <w:t>Varmistimme myyntisaamisia</w:t>
            </w:r>
            <w:r w:rsidRPr="00F34682">
              <w:t xml:space="preserve"> lähettämällä myyntisaamisten saldovahvistuksia; </w:t>
            </w:r>
          </w:p>
          <w:p w:rsidR="00F34682" w:rsidRPr="00893505" w:rsidP="00F34682" w14:paraId="722596F2" w14:textId="77777777">
            <w:pPr>
              <w:pStyle w:val="TableBody"/>
              <w:numPr>
                <w:ilvl w:val="0"/>
                <w:numId w:val="8"/>
              </w:numPr>
              <w:suppressAutoHyphens/>
              <w:rPr>
                <w:i/>
              </w:rPr>
            </w:pPr>
            <w:r>
              <w:t>Analysoimme myyntisaamisten ikäjakaumaa;</w:t>
            </w:r>
          </w:p>
          <w:p w:rsidR="00F34682" w:rsidRPr="00EE4D92" w:rsidP="00A93106" w14:paraId="271CA7E5" w14:textId="77777777">
            <w:pPr>
              <w:pStyle w:val="TableBody"/>
              <w:numPr>
                <w:ilvl w:val="0"/>
                <w:numId w:val="8"/>
              </w:numPr>
              <w:suppressAutoHyphens/>
              <w:rPr>
                <w:i/>
              </w:rPr>
            </w:pPr>
            <w:r>
              <w:t>Kävimme läpi yhti</w:t>
            </w:r>
            <w:r>
              <w:t xml:space="preserve">ön johdon kanssa pitkäaikaisia ja myöhästyneitä myyntisaamisia </w:t>
            </w:r>
            <w:r w:rsidR="00A93106">
              <w:t>ja a</w:t>
            </w:r>
            <w:r w:rsidRPr="00F34682">
              <w:t xml:space="preserve">rvioimme näiden saamisten kuranttiutta </w:t>
            </w:r>
            <w:r w:rsidR="00A93106">
              <w:t>hankkimalla asianmukaista evidenssiä johtopäätöksemme tueksi.</w:t>
            </w:r>
          </w:p>
        </w:tc>
      </w:tr>
      <w:tr w14:paraId="640F391B" w14:textId="77777777" w:rsidTr="003A0BC0">
        <w:tblPrEx>
          <w:tblW w:w="7776" w:type="dxa"/>
          <w:tblLook w:val="04A0"/>
        </w:tblPrEx>
        <w:tc>
          <w:tcPr>
            <w:tcW w:w="7776" w:type="dxa"/>
            <w:gridSpan w:val="3"/>
            <w:tcBorders>
              <w:top w:val="dotted" w:sz="4" w:space="0" w:color="DB6900"/>
              <w:bottom w:val="single" w:sz="2" w:space="0" w:color="DB6900"/>
            </w:tcBorders>
          </w:tcPr>
          <w:p w:rsidR="0009561B" w:rsidRPr="00EB73C0" w:rsidP="0009561B" w14:paraId="6CD93691" w14:textId="77777777">
            <w:pPr>
              <w:pStyle w:val="TableBody"/>
              <w:rPr>
                <w:i/>
              </w:rPr>
            </w:pPr>
            <w:r>
              <w:t>Emoyhtiön tilinpäätöksen osalta ei ole sellaisia tilintarkastuksen kannalta keskeisiä seikkoja, joista olisi viestittävä kertomuksessamme. Konsernitilinpäätöksen tai emoyhtiön tilinpäätöksen osalta ei ole EU-asetuksen 537/2014 10.</w:t>
            </w:r>
            <w:r w:rsidRPr="008C2B25">
              <w:t xml:space="preserve"> artiklan</w:t>
            </w:r>
            <w:r>
              <w:t xml:space="preserve"> 2 c -kohdassa ta</w:t>
            </w:r>
            <w:r>
              <w:t>rkoitettuja merkittäviä olennaisen virheellisyyden riskejä.</w:t>
            </w:r>
          </w:p>
        </w:tc>
      </w:tr>
    </w:tbl>
    <w:p w:rsidR="00F17E50" w:rsidP="00F17E50" w14:paraId="370EB852" w14:textId="77777777">
      <w:pPr>
        <w:pStyle w:val="BodySingle"/>
      </w:pPr>
    </w:p>
    <w:p w:rsidR="00F17E50" w:rsidRPr="00C30EF9" w:rsidP="0087196B" w14:paraId="4AC1F0C3" w14:textId="77777777">
      <w:pPr>
        <w:pStyle w:val="WAuditHeading2"/>
      </w:pPr>
      <w:r w:rsidRPr="00C30EF9">
        <w:t>Tilinpäätöstä koskevat hallituksen ja toimitusjohtajan velvollisuudet</w:t>
      </w:r>
    </w:p>
    <w:p w:rsidR="00F17E50" w:rsidRPr="00C30EF9" w:rsidP="00F17E50" w14:paraId="0D3E53EA" w14:textId="77777777">
      <w:pPr>
        <w:pStyle w:val="BodyText"/>
      </w:pPr>
      <w:r w:rsidRPr="00C30EF9">
        <w:t>Hallitus ja toimitusjohtaja vastaavat tilinpäätöksen laatimisesta siten, että konsernitilinpäätös antaa oikea</w:t>
      </w:r>
      <w:r w:rsidR="00736448">
        <w:t>n</w:t>
      </w:r>
      <w:r w:rsidRPr="00C30EF9">
        <w:t xml:space="preserve"> ja riittävä</w:t>
      </w:r>
      <w:r w:rsidR="00736448">
        <w:t>n</w:t>
      </w:r>
      <w:r w:rsidRPr="00C30EF9">
        <w:t xml:space="preserve"> </w:t>
      </w:r>
      <w:r w:rsidR="00736448">
        <w:t>kuvan</w:t>
      </w:r>
      <w:r w:rsidRPr="00C30EF9">
        <w:t xml:space="preserve"> EU:ssa käyttöön hyväksyttyjen kansainvälisten tilinpäätösstandardien (IFRS) mukaisesti ja </w:t>
      </w:r>
      <w:r w:rsidR="00B85A04">
        <w:t xml:space="preserve">siten, </w:t>
      </w:r>
      <w:r w:rsidRPr="00C30EF9">
        <w:t>että tilinpäätös antaa oikean ja riittävän kuvan Suomessa voimassa olevien tilinpäätöksen laatimista koskevien säännösten mukaisesti</w:t>
      </w:r>
      <w:r w:rsidR="00B85A04">
        <w:t xml:space="preserve"> ja täyttää lakisääteiset vaatimukset</w:t>
      </w:r>
      <w:r w:rsidRPr="00C30EF9">
        <w:t xml:space="preserve">. </w:t>
      </w:r>
      <w:r w:rsidRPr="00424CBF" w:rsidR="00424CBF">
        <w:t>Hallitus ja toimitusjohtaja vastaavat myös sellaisesta sisäisestä valvonnasta, jonka ne katsovat tarpeelliseksi voidakseen laatia tilinpäätöksen, jossa ei ole väärinkäytöksestä tai virheestä johtuvaa olennaista virheellisyyttä.</w:t>
      </w:r>
      <w:r w:rsidR="009A6E25">
        <w:t xml:space="preserve"> </w:t>
      </w:r>
    </w:p>
    <w:p w:rsidR="00F17E50" w:rsidRPr="00C30EF9" w:rsidP="00F17E50" w14:paraId="2B260124" w14:textId="77777777">
      <w:pPr>
        <w:pStyle w:val="BodyText"/>
      </w:pPr>
      <w:r w:rsidRPr="00C30EF9">
        <w:t xml:space="preserve">Hallitus </w:t>
      </w:r>
      <w:r w:rsidRPr="00C30EF9">
        <w:t>ja toimitusjohtaja ovat tilinpäätöstä laatiessaan velvollisia arvioimaan emoyhtiön ja konsernin kykyä jatkaa toimintaansa ja soveltuvissa tapauksissa esittämään seikat, jotka liittyvät toiminnan jatkuvuuteen ja siihen, että tilinpäätös on laadittu toiminna</w:t>
      </w:r>
      <w:r w:rsidRPr="00C30EF9">
        <w:t>n jatkuvuuteen perustuen. Tilinpäätös laaditaan toiminnan jatkuvuuteen perustuen</w:t>
      </w:r>
      <w:r w:rsidR="00591E05">
        <w:t>,</w:t>
      </w:r>
      <w:r w:rsidRPr="00C30EF9">
        <w:t xml:space="preserve"> paitsi jos emoyhtiö tai konserni aiotaan purkaa tai toiminta lakkauttaa tai ei ole muuta realistista vaihtoehtoa kuin tehdä niin. </w:t>
      </w:r>
    </w:p>
    <w:p w:rsidR="00F17E50" w:rsidRPr="00C30EF9" w:rsidP="0087196B" w14:paraId="6C068057" w14:textId="77777777">
      <w:pPr>
        <w:pStyle w:val="WAuditHeading2"/>
      </w:pPr>
      <w:r w:rsidRPr="00B329E6">
        <w:t>Tilintarkastajan</w:t>
      </w:r>
      <w:r w:rsidRPr="00C30EF9">
        <w:t xml:space="preserve"> velvollisuudet tilinpäätök</w:t>
      </w:r>
      <w:r w:rsidRPr="00C30EF9">
        <w:t>sen tilintarkastuksessa</w:t>
      </w:r>
    </w:p>
    <w:p w:rsidR="00F17E50" w:rsidP="00F17E50" w14:paraId="507687A2" w14:textId="77777777">
      <w:pPr>
        <w:pStyle w:val="BodyText"/>
      </w:pPr>
      <w:r w:rsidRPr="00C30EF9">
        <w:t xml:space="preserve">Tavoitteenamme on hankkia kohtuullinen varmuus siitä, onko tilinpäätöksessä kokonaisuutena väärinkäytöksestä tai virheestä johtuvaa olennaista virheellisyyttä, sekä antaa tilintarkastuskertomus, joka sisältää </w:t>
      </w:r>
      <w:r w:rsidRPr="00C30EF9">
        <w:t xml:space="preserve">lausuntomme. Kohtuullinen varmuus on korkea varmuustaso, mutta se ei ole tae siitä, että olennainen virheellisyys aina havaitaan hyvän tilintarkastustavan mukaisesti suoritettavassa </w:t>
      </w:r>
      <w:r w:rsidRPr="00C30EF9">
        <w:t>tilintarkastuksessa. Virheellisyyksiä voi aiheutua väärinkäytöksestä tai v</w:t>
      </w:r>
      <w:r w:rsidRPr="00C30EF9">
        <w:t>irheestä, ja niiden katsotaan olevan olennaisia, jo</w:t>
      </w:r>
      <w:r w:rsidR="003648A8">
        <w:t>s niiden yksin tai yhdessä voitaisiin</w:t>
      </w:r>
      <w:r w:rsidRPr="00C30EF9">
        <w:t xml:space="preserve"> kohtuudella odottaa vaikuttavan taloudellisiin päätöksiin, joita käyttäjät tekevät tilinpäätöksen perusteella.</w:t>
      </w:r>
    </w:p>
    <w:p w:rsidR="00A571E2" w:rsidP="00A571E2" w14:paraId="6E3E3FC5" w14:textId="77777777">
      <w:pPr>
        <w:pStyle w:val="BodyText"/>
      </w:pPr>
      <w:r>
        <w:t>Hyvän tilintarkastustavan mukaiseen tilintarkastukseen k</w:t>
      </w:r>
      <w:r>
        <w:t xml:space="preserve">uuluu, että käytämme ammatillista harkintaa ja säilytämme ammatillisen skeptisyyden koko tilintarkastuksen ajan. Lisäksi: </w:t>
      </w:r>
    </w:p>
    <w:p w:rsidR="00A571E2" w:rsidP="00A571E2" w14:paraId="65215450" w14:textId="77777777">
      <w:pPr>
        <w:pStyle w:val="BodyText"/>
        <w:numPr>
          <w:ilvl w:val="0"/>
          <w:numId w:val="9"/>
        </w:numPr>
        <w:ind w:left="357" w:hanging="357"/>
      </w:pPr>
      <w:r>
        <w:t>tunnistamme ja arvioimme väärinkäytöksestä tai virheestä johtuvat tilinpäätöksen olennaisen virheellisyyden riskit, suunnittelemme ja</w:t>
      </w:r>
      <w:r>
        <w:t xml:space="preserve"> suoritamme näihin riskeihin vastaavia tilintarkastustoimenpiteitä ja hankimme lausuntomme perustaksi tarpeellisen määrän tarkoitukseen soveltuvaa tilintarkastusevidenssiä. Riski siitä, että väärinkäytöksestä johtuva olennainen virheellisyys jää havaitsema</w:t>
      </w:r>
      <w:r>
        <w:t>tta, on suurempi kuin riski siitä, että virheestä johtuva olennainen virheellisyys jää havaitsematta, sillä väärinkäytökseen voi liittyä yhteistoimintaa, väärentämistä, tietojen tahallista esittämättä jättämistä tai virheellisten tietojen esittämistä taikk</w:t>
      </w:r>
      <w:r>
        <w:t>a sisäisen valvonnan sivuuttamista.</w:t>
      </w:r>
    </w:p>
    <w:p w:rsidR="00A571E2" w:rsidP="00A571E2" w14:paraId="4AAC62B2" w14:textId="77777777">
      <w:pPr>
        <w:pStyle w:val="BodyText"/>
        <w:numPr>
          <w:ilvl w:val="0"/>
          <w:numId w:val="9"/>
        </w:numPr>
        <w:ind w:left="357" w:hanging="357"/>
      </w:pPr>
      <w:r>
        <w:t>muodostamme käsityksen tilintarkastuksen kannalta relevantista sisäisestä valvonnasta pystyäksemme suunnittelemaan olosuhteisiin nähden asianmukaiset tilintarkastustoimenpiteet mutta emme siinä tarkoituksessa, että pysty</w:t>
      </w:r>
      <w:r>
        <w:t xml:space="preserve">isimme antamaan lausunnon emoyhtiön tai konsernin sisäisen valvonnan tehokkuudesta. </w:t>
      </w:r>
    </w:p>
    <w:p w:rsidR="00A571E2" w:rsidP="00A571E2" w14:paraId="52531424" w14:textId="77777777">
      <w:pPr>
        <w:pStyle w:val="BodyText"/>
        <w:numPr>
          <w:ilvl w:val="0"/>
          <w:numId w:val="9"/>
        </w:numPr>
        <w:ind w:left="357" w:hanging="357"/>
      </w:pPr>
      <w:r>
        <w:t>arvioimme sovellettujen tilinpäätöksen laatimisperiaatteiden asianmukaisuutta sekä johdon tekemien kirjanpidollisten arvioiden ja niistä esitettävien tietojen kohtuullisuu</w:t>
      </w:r>
      <w:r>
        <w:t>tta.</w:t>
      </w:r>
    </w:p>
    <w:p w:rsidR="00A571E2" w:rsidP="00A571E2" w14:paraId="58387BDF" w14:textId="77777777">
      <w:pPr>
        <w:pStyle w:val="BodyText"/>
        <w:numPr>
          <w:ilvl w:val="0"/>
          <w:numId w:val="9"/>
        </w:numPr>
        <w:ind w:left="357" w:hanging="357"/>
      </w:pPr>
      <w:r>
        <w:t>teemme johtopäätöksen siitä, onko hallituksen ja toimitusjohtajan ollut asianmukaista laatia tilinpäätös perustuen oletukseen toiminnan jatkuvuudesta, ja teemme hankkimamme tilintarkastusevidenssin perusteella johtopäätöksen siitä, esiintyykö sellaist</w:t>
      </w:r>
      <w:r>
        <w:t xml:space="preserve">a tapahtumiin tai olosuhteisiin liittyvää </w:t>
      </w:r>
      <w:r>
        <w:t>olennaista epävarmuutta, joka voi antaa merkittävää aihetta epäillä emoyhtiön tai konsernin kykyä jatkaa toimintaansa. Jos johtopäätöksemme on, että olennaista epävarmuutta esiintyy, meidän täytyy kiinnittää tilint</w:t>
      </w:r>
      <w:r>
        <w:t xml:space="preserve">arkastuskertomuksessamme lukijan huomiota epävarmuutta koskeviin tilinpäätöksessä esitettäviin tietoihin tai, jos epävarmuutta koskevat tiedot eivät ole riittäviä, mukauttaa lausuntomme. Johtopäätöksemme perustuvat tilintarkastuskertomuksen antamispäivään </w:t>
      </w:r>
      <w:r>
        <w:t>mennessä hankittuun tilintarkastusevidenssiin. Vastaiset tapahtumat tai olosuhteet voivat kuitenkin johtaa siihen, ettei emoyhtiö tai konserni pysty jatkamaan toimintaansa.</w:t>
      </w:r>
    </w:p>
    <w:p w:rsidR="00A571E2" w:rsidP="00A571E2" w14:paraId="09F50F34" w14:textId="77777777">
      <w:pPr>
        <w:pStyle w:val="BodyText"/>
        <w:numPr>
          <w:ilvl w:val="0"/>
          <w:numId w:val="9"/>
        </w:numPr>
        <w:ind w:left="357" w:hanging="357"/>
      </w:pPr>
      <w:r>
        <w:t xml:space="preserve">arvioimme tilinpäätöksen, </w:t>
      </w:r>
      <w:r w:rsidR="00043B43">
        <w:t>kaikki tilinpäätöksessä esitettävät tiedot mukaan lukien</w:t>
      </w:r>
      <w:r>
        <w:t>,</w:t>
      </w:r>
      <w:r>
        <w:t xml:space="preserve"> yleistä esittämistapaa, rakennetta ja sisältöä ja sitä, kuvastaako tilinpäätös sen perustana olevia liiketoimia ja tapahtumia siten, että se antaa oikean ja riittävän kuvan. </w:t>
      </w:r>
    </w:p>
    <w:p w:rsidR="00A571E2" w:rsidP="00A571E2" w14:paraId="1954F4AA" w14:textId="77777777">
      <w:pPr>
        <w:pStyle w:val="BodyText"/>
        <w:numPr>
          <w:ilvl w:val="0"/>
          <w:numId w:val="9"/>
        </w:numPr>
        <w:ind w:left="357" w:hanging="357"/>
      </w:pPr>
      <w:r>
        <w:t>hankimme tarpeellisen määrän tarkoitukseen soveltuvaa tilintarkastusevidenssiä k</w:t>
      </w:r>
      <w:r>
        <w:t>onserniin kuuluvia yhteisöjä tai liiketoimintoja koskevasta taloudellisesta informaatiosta pystyäksemme antamaan lausunnon konsernitilinpäätöksestä. Vastaamme konsernin tilintarkastuksen ohjauksesta, valvonnasta ja suorittamisesta. Vastaamme tilintarkastus</w:t>
      </w:r>
      <w:r>
        <w:t>lausunnosta yksin.</w:t>
      </w:r>
    </w:p>
    <w:p w:rsidR="00A571E2" w:rsidP="00A571E2" w14:paraId="6B3AEF21" w14:textId="77777777">
      <w:pPr>
        <w:pStyle w:val="BodyText"/>
      </w:pPr>
      <w:r>
        <w:t>Kommunikoimme hallintoelinten kanssa muun muassa tilintarkastuksen suunnitellusta laajuudesta ja ajoituksesta sekä merkittävistä tilintarkastushavainnoista, mukaan lukien mahdolliset sisäisen valvonnan merkittävät puutteellisuudet, jotka</w:t>
      </w:r>
      <w:r>
        <w:t xml:space="preserve"> tunnistamme tilintarkastuksen aikana. </w:t>
      </w:r>
    </w:p>
    <w:p w:rsidR="00A571E2" w:rsidP="00A571E2" w14:paraId="4EF4A8DE" w14:textId="77777777">
      <w:pPr>
        <w:pStyle w:val="BodyText"/>
      </w:pPr>
      <w:r>
        <w:t>Lisäksi annamme hallintoelimille vahvistuksen siitä, että olemme noudattaneet riippumattomuutta koskevia relevantteja eettisiä vaatimuksia, ja kommunikoimme niiden kanssa kaikista suhteista ja muista seikoista, joide</w:t>
      </w:r>
      <w:r>
        <w:t>n voi kohtuudella ajatella vaikuttavan riippumattomuuteemme, ja soveltuvissa tapauksissa niihin liittyvistä varotoimista.</w:t>
      </w:r>
    </w:p>
    <w:p w:rsidR="00A571E2" w:rsidRPr="00A571E2" w:rsidP="00A571E2" w14:paraId="1AFF2B6F" w14:textId="77777777">
      <w:pPr>
        <w:pStyle w:val="BodyText"/>
      </w:pPr>
      <w:r>
        <w:t>Päätämme, mitkä hallintoelinten kanssa kommunikoiduista seikoista olivat merkittävimpiä tarkasteltavana olevan tilikauden tilintarkast</w:t>
      </w:r>
      <w:r>
        <w:t xml:space="preserve">uksessa ja näin ollen ovat tilintarkastuksen kannalta keskeisiä. Kuvaamme kyseiset seikat </w:t>
      </w:r>
      <w:r>
        <w:t>tilintarkastuskertomuksessa, paitsi jos säädös tai määräys estää kyseisen seikan julkistamisen tai kun äärimmäisen harvinaisissa tapauksissa toteamme, ettei kyseisest</w:t>
      </w:r>
      <w:r>
        <w:t>ä seikasta viestitä tilintarkastuskertomuksessa, koska siitä aiheutuvien epäedullisten vaikutusten voitaisiin kohtuudella odottaa olevan suuremmat kuin tällaisesta viestinnästä koituva yleinen etu.</w:t>
      </w:r>
    </w:p>
    <w:p w:rsidR="00F17E50" w:rsidRPr="003B5952" w:rsidP="0087196B" w14:paraId="4A32128C" w14:textId="77777777">
      <w:pPr>
        <w:pStyle w:val="WAuditHeading1"/>
      </w:pPr>
      <w:r w:rsidRPr="003B5952">
        <w:t xml:space="preserve">Muut raportointivelvoitteet </w:t>
      </w:r>
    </w:p>
    <w:p w:rsidR="00B72A11" w:rsidRPr="00C30EF9" w:rsidP="0087196B" w14:paraId="7DFE5ACC" w14:textId="77777777">
      <w:pPr>
        <w:pStyle w:val="WAuditHeading2"/>
      </w:pPr>
      <w:r w:rsidRPr="00B72A11">
        <w:t xml:space="preserve">Tilintarkastustoimeksiantoa </w:t>
      </w:r>
      <w:r w:rsidRPr="00B72A11">
        <w:t>koskevat tiedot</w:t>
      </w:r>
    </w:p>
    <w:p w:rsidR="00B72A11" w:rsidRPr="00C30EF9" w:rsidP="00B72A11" w14:paraId="21EE516D" w14:textId="77777777">
      <w:pPr>
        <w:pStyle w:val="BodyText"/>
      </w:pPr>
      <w:r w:rsidRPr="00B72A11">
        <w:t>Olemme toimineet yhtiökokouksen valitsema</w:t>
      </w:r>
      <w:r w:rsidR="0061425D">
        <w:t>na tilintarkastajana</w:t>
      </w:r>
      <w:r w:rsidR="008102C8">
        <w:t xml:space="preserve"> 2.3.2017 alkaen</w:t>
      </w:r>
      <w:r w:rsidR="009A7B21">
        <w:t xml:space="preserve"> yhtäjaksoisesti </w:t>
      </w:r>
      <w:r w:rsidR="00E511A7">
        <w:t>neljä</w:t>
      </w:r>
      <w:r w:rsidR="009A7B21">
        <w:t xml:space="preserve"> vuotta</w:t>
      </w:r>
      <w:r w:rsidRPr="00C30EF9">
        <w:t>.</w:t>
      </w:r>
    </w:p>
    <w:p w:rsidR="00F17E50" w:rsidRPr="00C30EF9" w:rsidP="0087196B" w14:paraId="4EB68C40" w14:textId="77777777">
      <w:pPr>
        <w:pStyle w:val="WAuditHeading2"/>
      </w:pPr>
      <w:r w:rsidRPr="00C30EF9">
        <w:t xml:space="preserve">Muu informaatio </w:t>
      </w:r>
    </w:p>
    <w:p w:rsidR="002A590E" w:rsidRPr="00C30EF9" w:rsidP="002A590E" w14:paraId="4C2F624B" w14:textId="77777777">
      <w:pPr>
        <w:pStyle w:val="BodyText"/>
      </w:pPr>
      <w:r w:rsidRPr="00FC040D">
        <w:t>Hallitus ja toimitusjohtaja vastaavat muusta informaatiosta. Muu informaatio käsittää toimintakertomuksen ja vuosik</w:t>
      </w:r>
      <w:r w:rsidRPr="00FC040D">
        <w:t>ertomukseen sisältyvän informaation, mutta se ei sisällä tilinpäätöstä eikä sitä koskevaa tilintarkastuskertomustamme</w:t>
      </w:r>
      <w:r w:rsidRPr="00C30EF9">
        <w:t>.</w:t>
      </w:r>
    </w:p>
    <w:p w:rsidR="002A590E" w:rsidRPr="00C30EF9" w:rsidP="002A590E" w14:paraId="50DAB86D" w14:textId="77777777">
      <w:pPr>
        <w:pStyle w:val="BodyText"/>
      </w:pPr>
      <w:r w:rsidRPr="00C30EF9">
        <w:t>Tilinpäätöstä koskeva lausuntomme ei kata muuta informaatiota.</w:t>
      </w:r>
    </w:p>
    <w:p w:rsidR="002A590E" w:rsidRPr="00C30EF9" w:rsidP="002A590E" w14:paraId="71E21DFD" w14:textId="77777777">
      <w:pPr>
        <w:pStyle w:val="BodyText"/>
      </w:pPr>
      <w:r w:rsidRPr="00C30EF9">
        <w:t>Velvollisuutenamme on lukea muu informaatio tilinpäätöksen tilintarkastuks</w:t>
      </w:r>
      <w:r w:rsidRPr="00C30EF9">
        <w:t>en yhteydessä ja tätä tehdessämme arvioida, onko muu informaatio olennaisesti ristiriidassa tilinpäätöksen tai tilintarkastusta suoritettaessa hankkimamme tietämyksen kanssa tai vaikuttaako se muutoin olevan olennaisesti virheellistä.</w:t>
      </w:r>
      <w:r>
        <w:t xml:space="preserve"> Toimintakertomuksen o</w:t>
      </w:r>
      <w:r>
        <w:t>salta</w:t>
      </w:r>
      <w:r w:rsidRPr="00C30EF9">
        <w:t xml:space="preserve"> velvollisuutenamme on </w:t>
      </w:r>
      <w:r>
        <w:t xml:space="preserve">lisäksi </w:t>
      </w:r>
      <w:r w:rsidRPr="00C30EF9">
        <w:t>arvioida, onko toimintakertomus laadittu sen laatimiseen sovellettavien säännösten mukaisesti.</w:t>
      </w:r>
    </w:p>
    <w:p w:rsidR="002A590E" w:rsidP="002A590E" w14:paraId="0AA55E70" w14:textId="77777777">
      <w:pPr>
        <w:pStyle w:val="BodyText"/>
      </w:pPr>
      <w:r>
        <w:t>Lausuntonamme esitämme, että</w:t>
      </w:r>
    </w:p>
    <w:p w:rsidR="002A590E" w:rsidP="002A590E" w14:paraId="052494FB" w14:textId="77777777">
      <w:pPr>
        <w:pStyle w:val="BodyText"/>
        <w:numPr>
          <w:ilvl w:val="0"/>
          <w:numId w:val="10"/>
        </w:numPr>
        <w:ind w:left="357" w:hanging="357"/>
      </w:pPr>
      <w:r w:rsidRPr="00C30EF9">
        <w:t>toimintakertomuksen ja tilinpäätöksen ti</w:t>
      </w:r>
      <w:r>
        <w:t>edot ovat yhdenmukaisia</w:t>
      </w:r>
    </w:p>
    <w:p w:rsidR="002A590E" w:rsidRPr="00C30EF9" w:rsidP="002A590E" w14:paraId="67740DB0" w14:textId="77777777">
      <w:pPr>
        <w:pStyle w:val="BodyText"/>
        <w:numPr>
          <w:ilvl w:val="0"/>
          <w:numId w:val="10"/>
        </w:numPr>
        <w:ind w:left="357" w:hanging="357"/>
      </w:pPr>
      <w:r w:rsidRPr="00C30EF9">
        <w:t>toimintakertomus on laadittu toi</w:t>
      </w:r>
      <w:r w:rsidRPr="00C30EF9">
        <w:t>mintakertomuksen laatimiseen sovellettavien säännösten mukaisesti.</w:t>
      </w:r>
    </w:p>
    <w:p w:rsidR="008C2BAD" w:rsidP="002A590E" w14:paraId="6A3E1517" w14:textId="77777777">
      <w:pPr>
        <w:pStyle w:val="BodyText"/>
      </w:pPr>
      <w:r w:rsidRPr="00FC040D">
        <w:t>Jos teemme suorittamamme työn perusteella johtopäätöksen, että muussa informaatiossa on olennainen virhee</w:t>
      </w:r>
      <w:r w:rsidR="00956F46">
        <w:t>l</w:t>
      </w:r>
      <w:r w:rsidRPr="00FC040D">
        <w:t xml:space="preserve">lisyys, meidän on raportoitava tästä seikasta. </w:t>
      </w:r>
      <w:r w:rsidRPr="005C4BCB">
        <w:t>Meillä ei ole tämän asian suhteen ra</w:t>
      </w:r>
      <w:r w:rsidRPr="005C4BCB">
        <w:t>portoitavaa</w:t>
      </w:r>
      <w:r>
        <w:t>.</w:t>
      </w:r>
    </w:p>
    <w:p w:rsidR="007074AA" w:rsidP="002A590E" w14:paraId="6ABC12BB" w14:textId="77777777">
      <w:pPr>
        <w:pStyle w:val="BodyText"/>
      </w:pPr>
    </w:p>
    <w:p w:rsidR="00135605" w:rsidRPr="00C30EF9" w:rsidP="0087196B" w14:paraId="4C27880B" w14:textId="77777777">
      <w:pPr>
        <w:pStyle w:val="WAuditHeading2"/>
      </w:pPr>
      <w:r w:rsidRPr="00C30EF9">
        <w:t>Muu</w:t>
      </w:r>
      <w:r w:rsidR="004411BC">
        <w:t>t lausumat</w:t>
      </w:r>
      <w:r w:rsidRPr="00C30EF9">
        <w:t xml:space="preserve"> </w:t>
      </w:r>
    </w:p>
    <w:p w:rsidR="00694707" w:rsidP="009B7557" w14:paraId="239AEE5B" w14:textId="77777777">
      <w:pPr>
        <w:pStyle w:val="BodyText"/>
      </w:pPr>
      <w:r w:rsidRPr="00135605">
        <w:t xml:space="preserve">Puollamme tilinpäätöksen vahvistamista. Hallituksen esitys </w:t>
      </w:r>
      <w:r>
        <w:t>voitonjakokelpoisten varojen</w:t>
      </w:r>
      <w:r w:rsidRPr="00135605">
        <w:t xml:space="preserve"> käyttämisestä on osakeyhtiöla</w:t>
      </w:r>
      <w:r>
        <w:t>in mukainen. Puollamme vastuuva</w:t>
      </w:r>
      <w:r w:rsidRPr="00135605">
        <w:t xml:space="preserve">pauden myöntämistä hallituksen jäsenille sekä toimitusjohtajalle tarkastamaltamme tilikaudelta.  </w:t>
      </w:r>
    </w:p>
    <w:p w:rsidR="00694707" w:rsidP="009B7557" w14:paraId="09B6E32B" w14:textId="77777777">
      <w:pPr>
        <w:pStyle w:val="BodyText"/>
      </w:pPr>
    </w:p>
    <w:p w:rsidR="00F17E50" w:rsidRPr="0061425D" w:rsidP="009B7557" w14:paraId="48358E63" w14:textId="77777777">
      <w:pPr>
        <w:pStyle w:val="BodyText"/>
      </w:pPr>
      <w:r w:rsidRPr="0061425D">
        <w:t xml:space="preserve">Helsingissä </w:t>
      </w:r>
      <w:r w:rsidR="00E511A7">
        <w:t>5</w:t>
      </w:r>
      <w:r w:rsidRPr="0061425D">
        <w:t>.</w:t>
      </w:r>
      <w:r w:rsidR="00694707">
        <w:t xml:space="preserve"> päivänä </w:t>
      </w:r>
      <w:r w:rsidR="00D9002E">
        <w:t>helmi</w:t>
      </w:r>
      <w:r w:rsidR="00694707">
        <w:t>kuuta 20</w:t>
      </w:r>
      <w:r w:rsidR="00D9002E">
        <w:t>2</w:t>
      </w:r>
      <w:r w:rsidR="00E511A7">
        <w:t>1</w:t>
      </w:r>
    </w:p>
    <w:p w:rsidR="00F17E50" w:rsidRPr="0061425D" w:rsidP="009B7557" w14:paraId="49A4346C" w14:textId="77777777">
      <w:pPr>
        <w:pStyle w:val="BodyText"/>
      </w:pPr>
      <w:r w:rsidRPr="0061425D">
        <w:rPr>
          <w:b/>
        </w:rPr>
        <w:t>PricewaterhouseCoopers Oy</w:t>
      </w:r>
      <w:r w:rsidRPr="0061425D">
        <w:br/>
        <w:t>Tilintarkastusyhteisö</w:t>
      </w:r>
    </w:p>
    <w:p w:rsidR="00261D76" w:rsidP="007E5E6B" w14:paraId="3B7BDF83" w14:textId="77777777">
      <w:pPr>
        <w:pStyle w:val="BodyText"/>
      </w:pPr>
    </w:p>
    <w:p w:rsidR="00F825C5" w:rsidRPr="00C30EF9" w:rsidP="007E5E6B" w14:paraId="1A3A7AFC" w14:textId="77777777">
      <w:pPr>
        <w:pStyle w:val="BodyText"/>
      </w:pPr>
      <w:r>
        <w:t>Merja Lindh</w:t>
      </w:r>
      <w:r w:rsidRPr="00C30EF9" w:rsidR="00F17E50">
        <w:br/>
        <w:t>KHT</w:t>
      </w:r>
    </w:p>
    <w:sectPr w:rsidSect="0085320D">
      <w:headerReference w:type="even" r:id="rId54"/>
      <w:headerReference w:type="default" r:id="rId55"/>
      <w:footerReference w:type="even" r:id="rId56"/>
      <w:footerReference w:type="default" r:id="rId57"/>
      <w:headerReference w:type="first" r:id="rId58"/>
      <w:footerReference w:type="first" r:id="rId59"/>
      <w:type w:val="continuous"/>
      <w:pgSz w:w="16838" w:h="11906" w:orient="landscape"/>
      <w:pgMar w:top="2304" w:right="734" w:bottom="1253" w:left="734" w:header="720" w:footer="720" w:gutter="0"/>
      <w:pgBorders w:zOrder="front" w:display="allPages" w:offsetFrom="text">
        <w:top w:val="nil"/>
        <w:left w:val="nil"/>
        <w:bottom w:val="nil"/>
        <w:right w:val="nil"/>
      </w:pgBorders>
      <w:cols w:num="2" w:sep="0" w:space="624" w:equalWidth="1"/>
      <w:vAlign w:val="top"/>
      <w:titlePg w:val="0"/>
      <w:rtlGutter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Vrinda"/>
    <w:panose1 w:val="00000400000000000000"/>
    <w:charset w:val="00"/>
    <w:family w:val="swiss"/>
    <w:pitch w:val="variable"/>
    <w:sig w:usb0="00010003" w:usb1="00000000" w:usb2="00000000" w:usb3="00000000" w:csb0="00000001" w:csb1="00000000"/>
  </w:font>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Georgia,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EB3" w14:paraId="24AFE5E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EB3" w14:paraId="24AFE5E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EB3" w14:paraId="40014C3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C49" w14:paraId="7689AD2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C49" w14:paraId="7689AD2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C49" w14:paraId="0804CCB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04C" w14:paraId="610CD12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04C" w14:paraId="610CD12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04C" w14:paraId="3F9016A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70DC" w14:paraId="2C01AC9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70DC" w14:paraId="2C01AC9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70DC" w14:paraId="2843717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07D3" w14:paraId="537FFC04"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07D3" w14:paraId="7D877E1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07D3" w14:paraId="1A6E3A2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suppressLineNumbers/>
      <w:spacing w:before="0" w:beforeAutospacing="0" w:after="0" w:afterAutospacing="0" w:line="14" w:lineRule="exact"/>
      <w:contextualSpacing/>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3A" w:rsidRPr="00B93CC2" w:rsidP="00B93CC2" w14:paraId="28C675BE" w14:textId="69E9CFD5">
    <w:pPr>
      <w:pStyle w:val="WNormal"/>
      <w:tabs>
        <w:tab w:val="left" w:pos="0"/>
      </w:tabs>
      <w:jc w:val="right"/>
      <w:rPr>
        <w:color w:val="FF7321"/>
        <w:spacing w:val="40"/>
        <w:sz w:val="18"/>
      </w:rPr>
    </w:pPr>
    <w:r>
      <w:rPr>
        <w:color w:val="0F172B"/>
        <w:spacing w:val="4"/>
        <w:sz w:val="18"/>
        <w:szCs w:val="18"/>
      </w:rPr>
      <w:t>Tämä on Wärtsilä      /      Kestävä kehitys      /      Hallinnointi      /</w:t>
    </w:r>
    <w:r>
      <w:rPr>
        <w:color w:val="auto"/>
        <w:spacing w:val="4"/>
        <w:sz w:val="18"/>
        <w:szCs w:val="18"/>
      </w:rPr>
      <w:t xml:space="preserve">      </w:t>
    </w:r>
    <w:r>
      <w:rPr>
        <w:color w:val="FF7321"/>
        <w:spacing w:val="4"/>
        <w:sz w:val="18"/>
        <w:szCs w:val="18"/>
      </w:rPr>
      <w:t>Taloudellinen katsaus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5483A" w:rsidRPr="00B93CC2" w:rsidP="00B93CC2" w14:paraId="28C675BE" w14:textId="69E9CFD5">
    <w:pPr>
      <w:pStyle w:val="WNormal"/>
      <w:tabs>
        <w:tab w:val="left" w:pos="0"/>
      </w:tabs>
      <w:jc w:val="right"/>
      <w:rPr>
        <w:color w:val="FF7321"/>
        <w:spacing w:val="40"/>
        <w:sz w:val="18"/>
      </w:rPr>
    </w:pPr>
    <w:r>
      <w:rPr>
        <w:color w:val="0F172B"/>
        <w:spacing w:val="4"/>
        <w:sz w:val="18"/>
        <w:szCs w:val="18"/>
      </w:rPr>
      <w:t>Tämä on Wärtsilä      /      Kestävä kehitys      /      Hallinnointi      /</w:t>
    </w:r>
    <w:r>
      <w:rPr>
        <w:color w:val="auto"/>
        <w:spacing w:val="4"/>
        <w:sz w:val="18"/>
        <w:szCs w:val="18"/>
      </w:rPr>
      <w:t xml:space="preserve">      </w:t>
    </w:r>
    <w:r>
      <w:rPr>
        <w:color w:val="FF7321"/>
        <w:spacing w:val="4"/>
        <w:sz w:val="18"/>
        <w:szCs w:val="18"/>
      </w:rPr>
      <w:t>Taloudellinen katsaus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8775C" w:rsidRPr="00B93CC2" w:rsidP="00B93CC2" w14:paraId="5F40E835" w14:textId="1A139988">
    <w:pPr>
      <w:pStyle w:val="WNormal"/>
      <w:tabs>
        <w:tab w:val="left" w:pos="0"/>
      </w:tabs>
      <w:jc w:val="right"/>
      <w:rPr>
        <w:color w:val="FF7321"/>
        <w:spacing w:val="40"/>
        <w:sz w:val="18"/>
      </w:rPr>
    </w:pPr>
    <w:r>
      <w:rPr>
        <w:color w:val="0F172B"/>
        <w:spacing w:val="4"/>
        <w:sz w:val="18"/>
        <w:szCs w:val="18"/>
      </w:rPr>
      <w:t>Tämä on Wärtsilä      /      Kestävä kehitys      /      Hallinnointi      /</w:t>
    </w:r>
    <w:r>
      <w:rPr>
        <w:color w:val="auto"/>
        <w:spacing w:val="4"/>
        <w:sz w:val="18"/>
        <w:szCs w:val="18"/>
      </w:rPr>
      <w:t xml:space="preserve">      </w:t>
    </w:r>
    <w:r>
      <w:rPr>
        <w:color w:val="FF7321"/>
        <w:spacing w:val="4"/>
        <w:sz w:val="18"/>
        <w:szCs w:val="18"/>
      </w:rPr>
      <w:t>Taloudellinen katsaus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D5" w:rsidRPr="00F96055" w:rsidP="000803D5" w14:paraId="1570F95D" w14:textId="2E7F3C0B">
    <w:pPr>
      <w:pStyle w:val="WNormal"/>
      <w:tabs>
        <w:tab w:val="left" w:pos="0"/>
      </w:tabs>
      <w:jc w:val="right"/>
      <w:rPr>
        <w:color w:val="FF7321"/>
        <w:spacing w:val="40"/>
        <w:sz w:val="18"/>
      </w:rPr>
    </w:pPr>
    <w:bookmarkStart w:id="30" w:name="_GoBack"/>
    <w:bookmarkEnd w:id="30"/>
    <w:r w:rsidRPr="00DF5F83">
      <w:rPr>
        <w:color w:val="0F172B"/>
        <w:spacing w:val="4"/>
        <w:sz w:val="18"/>
        <w:szCs w:val="18"/>
      </w:rPr>
      <w:t>Tämä on Wärtsilä</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Kestävä kehitys  </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Hallin</w:t>
    </w:r>
    <w:r>
      <w:rPr>
        <w:color w:val="0F172B"/>
        <w:spacing w:val="4"/>
        <w:sz w:val="18"/>
        <w:szCs w:val="18"/>
      </w:rPr>
      <w:t>n</w:t>
    </w:r>
    <w:r w:rsidRPr="00DF5F83">
      <w:rPr>
        <w:color w:val="0F172B"/>
        <w:spacing w:val="4"/>
        <w:sz w:val="18"/>
        <w:szCs w:val="18"/>
      </w:rPr>
      <w:t xml:space="preserve">ointi </w:t>
    </w:r>
    <w:r>
      <w:rPr>
        <w:color w:val="0F172B"/>
        <w:spacing w:val="4"/>
        <w:sz w:val="18"/>
        <w:szCs w:val="18"/>
      </w:rPr>
      <w:t xml:space="preserve">  </w:t>
    </w:r>
    <w:r w:rsidRPr="00DF5F83">
      <w:rPr>
        <w:color w:val="0F172B"/>
        <w:spacing w:val="4"/>
        <w:sz w:val="18"/>
        <w:szCs w:val="18"/>
      </w:rPr>
      <w:t xml:space="preserve">   /</w:t>
    </w:r>
    <w:r w:rsidRPr="00DF5F83">
      <w:rPr>
        <w:color w:val="auto"/>
        <w:spacing w:val="4"/>
        <w:sz w:val="18"/>
        <w:szCs w:val="18"/>
      </w:rPr>
      <w:t xml:space="preserve">  </w:t>
    </w:r>
    <w:r>
      <w:rPr>
        <w:color w:val="auto"/>
        <w:spacing w:val="4"/>
        <w:sz w:val="18"/>
        <w:szCs w:val="18"/>
      </w:rPr>
      <w:t xml:space="preserve"> </w:t>
    </w:r>
    <w:r w:rsidRPr="00DF5F83">
      <w:rPr>
        <w:color w:val="auto"/>
        <w:spacing w:val="4"/>
        <w:sz w:val="18"/>
        <w:szCs w:val="18"/>
      </w:rPr>
      <w:t xml:space="preserve">   </w:t>
    </w:r>
    <w:r w:rsidRPr="00DF5F83">
      <w:rPr>
        <w:color w:val="FF7321"/>
        <w:spacing w:val="4"/>
        <w:sz w:val="18"/>
        <w:szCs w:val="18"/>
      </w:rPr>
      <w:t>Taloudellinen katsaus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D5" w:rsidRPr="00F96055" w:rsidP="000803D5" w14:paraId="1570F95D" w14:textId="2E7F3C0B">
    <w:pPr>
      <w:pStyle w:val="WNormal"/>
      <w:tabs>
        <w:tab w:val="left" w:pos="0"/>
      </w:tabs>
      <w:jc w:val="right"/>
      <w:rPr>
        <w:color w:val="FF7321"/>
        <w:spacing w:val="40"/>
        <w:sz w:val="18"/>
      </w:rPr>
    </w:pPr>
    <w:r w:rsidRPr="00DF5F83">
      <w:rPr>
        <w:color w:val="0F172B"/>
        <w:spacing w:val="4"/>
        <w:sz w:val="18"/>
        <w:szCs w:val="18"/>
      </w:rPr>
      <w:t>Tämä on Wärtsilä</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Kestävä kehitys  </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Hallin</w:t>
    </w:r>
    <w:r>
      <w:rPr>
        <w:color w:val="0F172B"/>
        <w:spacing w:val="4"/>
        <w:sz w:val="18"/>
        <w:szCs w:val="18"/>
      </w:rPr>
      <w:t>n</w:t>
    </w:r>
    <w:r w:rsidRPr="00DF5F83">
      <w:rPr>
        <w:color w:val="0F172B"/>
        <w:spacing w:val="4"/>
        <w:sz w:val="18"/>
        <w:szCs w:val="18"/>
      </w:rPr>
      <w:t xml:space="preserve">ointi </w:t>
    </w:r>
    <w:r>
      <w:rPr>
        <w:color w:val="0F172B"/>
        <w:spacing w:val="4"/>
        <w:sz w:val="18"/>
        <w:szCs w:val="18"/>
      </w:rPr>
      <w:t xml:space="preserve">  </w:t>
    </w:r>
    <w:r w:rsidRPr="00DF5F83">
      <w:rPr>
        <w:color w:val="0F172B"/>
        <w:spacing w:val="4"/>
        <w:sz w:val="18"/>
        <w:szCs w:val="18"/>
      </w:rPr>
      <w:t xml:space="preserve">   /</w:t>
    </w:r>
    <w:r w:rsidRPr="00DF5F83">
      <w:rPr>
        <w:color w:val="auto"/>
        <w:spacing w:val="4"/>
        <w:sz w:val="18"/>
        <w:szCs w:val="18"/>
      </w:rPr>
      <w:t xml:space="preserve">  </w:t>
    </w:r>
    <w:r>
      <w:rPr>
        <w:color w:val="auto"/>
        <w:spacing w:val="4"/>
        <w:sz w:val="18"/>
        <w:szCs w:val="18"/>
      </w:rPr>
      <w:t xml:space="preserve"> </w:t>
    </w:r>
    <w:r w:rsidRPr="00DF5F83">
      <w:rPr>
        <w:color w:val="auto"/>
        <w:spacing w:val="4"/>
        <w:sz w:val="18"/>
        <w:szCs w:val="18"/>
      </w:rPr>
      <w:t xml:space="preserve">   </w:t>
    </w:r>
    <w:r w:rsidRPr="00DF5F83">
      <w:rPr>
        <w:color w:val="FF7321"/>
        <w:spacing w:val="4"/>
        <w:sz w:val="18"/>
        <w:szCs w:val="18"/>
      </w:rPr>
      <w:t>Taloudellinen katsaus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E1EB3" w14:paraId="39B1E0A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D5" w:rsidRPr="00F96055" w:rsidP="000803D5" w14:textId="3C35C9A4">
    <w:pPr>
      <w:pStyle w:val="WNormal"/>
      <w:tabs>
        <w:tab w:val="left" w:pos="0"/>
      </w:tabs>
      <w:jc w:val="right"/>
      <w:rPr>
        <w:color w:val="FF7321"/>
        <w:spacing w:val="40"/>
        <w:sz w:val="18"/>
      </w:rPr>
    </w:pPr>
    <w:r w:rsidRPr="00DF5F83">
      <w:rPr>
        <w:color w:val="0F172B"/>
        <w:spacing w:val="4"/>
        <w:sz w:val="18"/>
        <w:szCs w:val="18"/>
      </w:rPr>
      <w:t>Tämä on Wärtsilä</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Kestävä kehitys  </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Hallin</w:t>
    </w:r>
    <w:r>
      <w:rPr>
        <w:color w:val="0F172B"/>
        <w:spacing w:val="4"/>
        <w:sz w:val="18"/>
        <w:szCs w:val="18"/>
      </w:rPr>
      <w:t>n</w:t>
    </w:r>
    <w:r w:rsidRPr="00DF5F83">
      <w:rPr>
        <w:color w:val="0F172B"/>
        <w:spacing w:val="4"/>
        <w:sz w:val="18"/>
        <w:szCs w:val="18"/>
      </w:rPr>
      <w:t xml:space="preserve">ointi </w:t>
    </w:r>
    <w:r>
      <w:rPr>
        <w:color w:val="0F172B"/>
        <w:spacing w:val="4"/>
        <w:sz w:val="18"/>
        <w:szCs w:val="18"/>
      </w:rPr>
      <w:t xml:space="preserve">  </w:t>
    </w:r>
    <w:r w:rsidRPr="00DF5F83">
      <w:rPr>
        <w:color w:val="0F172B"/>
        <w:spacing w:val="4"/>
        <w:sz w:val="18"/>
        <w:szCs w:val="18"/>
      </w:rPr>
      <w:t xml:space="preserve">   /</w:t>
    </w:r>
    <w:r w:rsidRPr="00DF5F83">
      <w:rPr>
        <w:color w:val="auto"/>
        <w:spacing w:val="4"/>
        <w:sz w:val="18"/>
        <w:szCs w:val="18"/>
      </w:rPr>
      <w:t xml:space="preserve">  </w:t>
    </w:r>
    <w:r>
      <w:rPr>
        <w:color w:val="auto"/>
        <w:spacing w:val="4"/>
        <w:sz w:val="18"/>
        <w:szCs w:val="18"/>
      </w:rPr>
      <w:t xml:space="preserve"> </w:t>
    </w:r>
    <w:r w:rsidRPr="00DF5F83">
      <w:rPr>
        <w:color w:val="auto"/>
        <w:spacing w:val="4"/>
        <w:sz w:val="18"/>
        <w:szCs w:val="18"/>
      </w:rPr>
      <w:t xml:space="preserve">   </w:t>
    </w:r>
    <w:r w:rsidRPr="00DF5F83">
      <w:rPr>
        <w:color w:val="FF7321"/>
        <w:spacing w:val="4"/>
        <w:sz w:val="18"/>
        <w:szCs w:val="18"/>
      </w:rPr>
      <w:t>Taloudellinen katsaus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D5" w:rsidRPr="00F96055" w:rsidP="000803D5" w14:textId="3C35C9A4">
    <w:pPr>
      <w:pStyle w:val="WNormal"/>
      <w:tabs>
        <w:tab w:val="left" w:pos="0"/>
      </w:tabs>
      <w:jc w:val="right"/>
      <w:rPr>
        <w:color w:val="FF7321"/>
        <w:spacing w:val="40"/>
        <w:sz w:val="18"/>
      </w:rPr>
    </w:pPr>
    <w:r w:rsidRPr="00DF5F83">
      <w:rPr>
        <w:color w:val="0F172B"/>
        <w:spacing w:val="4"/>
        <w:sz w:val="18"/>
        <w:szCs w:val="18"/>
      </w:rPr>
      <w:t>Tämä on Wärtsilä</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Kestävä kehitys  </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Hallin</w:t>
    </w:r>
    <w:r>
      <w:rPr>
        <w:color w:val="0F172B"/>
        <w:spacing w:val="4"/>
        <w:sz w:val="18"/>
        <w:szCs w:val="18"/>
      </w:rPr>
      <w:t>n</w:t>
    </w:r>
    <w:r w:rsidRPr="00DF5F83">
      <w:rPr>
        <w:color w:val="0F172B"/>
        <w:spacing w:val="4"/>
        <w:sz w:val="18"/>
        <w:szCs w:val="18"/>
      </w:rPr>
      <w:t xml:space="preserve">ointi </w:t>
    </w:r>
    <w:r>
      <w:rPr>
        <w:color w:val="0F172B"/>
        <w:spacing w:val="4"/>
        <w:sz w:val="18"/>
        <w:szCs w:val="18"/>
      </w:rPr>
      <w:t xml:space="preserve">  </w:t>
    </w:r>
    <w:r w:rsidRPr="00DF5F83">
      <w:rPr>
        <w:color w:val="0F172B"/>
        <w:spacing w:val="4"/>
        <w:sz w:val="18"/>
        <w:szCs w:val="18"/>
      </w:rPr>
      <w:t xml:space="preserve">   /</w:t>
    </w:r>
    <w:r w:rsidRPr="00DF5F83">
      <w:rPr>
        <w:color w:val="auto"/>
        <w:spacing w:val="4"/>
        <w:sz w:val="18"/>
        <w:szCs w:val="18"/>
      </w:rPr>
      <w:t xml:space="preserve">  </w:t>
    </w:r>
    <w:r>
      <w:rPr>
        <w:color w:val="auto"/>
        <w:spacing w:val="4"/>
        <w:sz w:val="18"/>
        <w:szCs w:val="18"/>
      </w:rPr>
      <w:t xml:space="preserve"> </w:t>
    </w:r>
    <w:r w:rsidRPr="00DF5F83">
      <w:rPr>
        <w:color w:val="auto"/>
        <w:spacing w:val="4"/>
        <w:sz w:val="18"/>
        <w:szCs w:val="18"/>
      </w:rPr>
      <w:t xml:space="preserve">   </w:t>
    </w:r>
    <w:r w:rsidRPr="00DF5F83">
      <w:rPr>
        <w:color w:val="FF7321"/>
        <w:spacing w:val="4"/>
        <w:sz w:val="18"/>
        <w:szCs w:val="18"/>
      </w:rPr>
      <w:t>Taloudellinen katsaus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D5" w:rsidRPr="00F96055" w:rsidP="000803D5" w14:textId="371AD4A9">
    <w:pPr>
      <w:pStyle w:val="WNormal"/>
      <w:tabs>
        <w:tab w:val="left" w:pos="0"/>
      </w:tabs>
      <w:jc w:val="right"/>
      <w:rPr>
        <w:color w:val="FF7321"/>
        <w:spacing w:val="40"/>
        <w:sz w:val="18"/>
      </w:rPr>
    </w:pPr>
    <w:r w:rsidRPr="00DF5F83">
      <w:rPr>
        <w:color w:val="0F172B"/>
        <w:spacing w:val="4"/>
        <w:sz w:val="18"/>
        <w:szCs w:val="18"/>
      </w:rPr>
      <w:t>Tämä on Wärtsilä</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Kestävä kehitys  </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Halli</w:t>
    </w:r>
    <w:r>
      <w:rPr>
        <w:color w:val="0F172B"/>
        <w:spacing w:val="4"/>
        <w:sz w:val="18"/>
        <w:szCs w:val="18"/>
      </w:rPr>
      <w:t>n</w:t>
    </w:r>
    <w:r w:rsidRPr="00DF5F83">
      <w:rPr>
        <w:color w:val="0F172B"/>
        <w:spacing w:val="4"/>
        <w:sz w:val="18"/>
        <w:szCs w:val="18"/>
      </w:rPr>
      <w:t xml:space="preserve">nointi </w:t>
    </w:r>
    <w:r>
      <w:rPr>
        <w:color w:val="0F172B"/>
        <w:spacing w:val="4"/>
        <w:sz w:val="18"/>
        <w:szCs w:val="18"/>
      </w:rPr>
      <w:t xml:space="preserve">  </w:t>
    </w:r>
    <w:r w:rsidRPr="00DF5F83">
      <w:rPr>
        <w:color w:val="0F172B"/>
        <w:spacing w:val="4"/>
        <w:sz w:val="18"/>
        <w:szCs w:val="18"/>
      </w:rPr>
      <w:t xml:space="preserve">   /</w:t>
    </w:r>
    <w:r w:rsidRPr="00DF5F83">
      <w:rPr>
        <w:color w:val="auto"/>
        <w:spacing w:val="4"/>
        <w:sz w:val="18"/>
        <w:szCs w:val="18"/>
      </w:rPr>
      <w:t xml:space="preserve">  </w:t>
    </w:r>
    <w:r>
      <w:rPr>
        <w:color w:val="auto"/>
        <w:spacing w:val="4"/>
        <w:sz w:val="18"/>
        <w:szCs w:val="18"/>
      </w:rPr>
      <w:t xml:space="preserve"> </w:t>
    </w:r>
    <w:r w:rsidRPr="00DF5F83">
      <w:rPr>
        <w:color w:val="auto"/>
        <w:spacing w:val="4"/>
        <w:sz w:val="18"/>
        <w:szCs w:val="18"/>
      </w:rPr>
      <w:t xml:space="preserve">   </w:t>
    </w:r>
    <w:r w:rsidRPr="00DF5F83">
      <w:rPr>
        <w:color w:val="FF7321"/>
        <w:spacing w:val="4"/>
        <w:sz w:val="18"/>
        <w:szCs w:val="18"/>
      </w:rPr>
      <w:t>Taloudellinen katsaus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D5" w:rsidRPr="00F96055" w:rsidP="000803D5" w14:textId="371AD4A9">
    <w:pPr>
      <w:pStyle w:val="WNormal"/>
      <w:tabs>
        <w:tab w:val="left" w:pos="0"/>
      </w:tabs>
      <w:jc w:val="right"/>
      <w:rPr>
        <w:color w:val="FF7321"/>
        <w:spacing w:val="40"/>
        <w:sz w:val="18"/>
      </w:rPr>
    </w:pPr>
    <w:r w:rsidRPr="00DF5F83">
      <w:rPr>
        <w:color w:val="0F172B"/>
        <w:spacing w:val="4"/>
        <w:sz w:val="18"/>
        <w:szCs w:val="18"/>
      </w:rPr>
      <w:t>Tämä on Wärtsilä</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Kestävä kehitys  </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Halli</w:t>
    </w:r>
    <w:r>
      <w:rPr>
        <w:color w:val="0F172B"/>
        <w:spacing w:val="4"/>
        <w:sz w:val="18"/>
        <w:szCs w:val="18"/>
      </w:rPr>
      <w:t>n</w:t>
    </w:r>
    <w:r w:rsidRPr="00DF5F83">
      <w:rPr>
        <w:color w:val="0F172B"/>
        <w:spacing w:val="4"/>
        <w:sz w:val="18"/>
        <w:szCs w:val="18"/>
      </w:rPr>
      <w:t xml:space="preserve">nointi </w:t>
    </w:r>
    <w:r>
      <w:rPr>
        <w:color w:val="0F172B"/>
        <w:spacing w:val="4"/>
        <w:sz w:val="18"/>
        <w:szCs w:val="18"/>
      </w:rPr>
      <w:t xml:space="preserve">  </w:t>
    </w:r>
    <w:r w:rsidRPr="00DF5F83">
      <w:rPr>
        <w:color w:val="0F172B"/>
        <w:spacing w:val="4"/>
        <w:sz w:val="18"/>
        <w:szCs w:val="18"/>
      </w:rPr>
      <w:t xml:space="preserve">   /</w:t>
    </w:r>
    <w:r w:rsidRPr="00DF5F83">
      <w:rPr>
        <w:color w:val="auto"/>
        <w:spacing w:val="4"/>
        <w:sz w:val="18"/>
        <w:szCs w:val="18"/>
      </w:rPr>
      <w:t xml:space="preserve">  </w:t>
    </w:r>
    <w:r>
      <w:rPr>
        <w:color w:val="auto"/>
        <w:spacing w:val="4"/>
        <w:sz w:val="18"/>
        <w:szCs w:val="18"/>
      </w:rPr>
      <w:t xml:space="preserve"> </w:t>
    </w:r>
    <w:r w:rsidRPr="00DF5F83">
      <w:rPr>
        <w:color w:val="auto"/>
        <w:spacing w:val="4"/>
        <w:sz w:val="18"/>
        <w:szCs w:val="18"/>
      </w:rPr>
      <w:t xml:space="preserve">   </w:t>
    </w:r>
    <w:r w:rsidRPr="00DF5F83">
      <w:rPr>
        <w:color w:val="FF7321"/>
        <w:spacing w:val="4"/>
        <w:sz w:val="18"/>
        <w:szCs w:val="18"/>
      </w:rPr>
      <w:t>Taloudellinen katsaus</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57C49" w14:paraId="127A3513" w14:textId="77777777">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D5" w:rsidRPr="00F96055" w:rsidP="000803D5" w14:textId="295BE2CF">
    <w:pPr>
      <w:pStyle w:val="WNormal"/>
      <w:tabs>
        <w:tab w:val="left" w:pos="0"/>
      </w:tabs>
      <w:jc w:val="right"/>
      <w:rPr>
        <w:color w:val="FF7321"/>
        <w:spacing w:val="40"/>
        <w:sz w:val="18"/>
      </w:rPr>
    </w:pPr>
    <w:r w:rsidRPr="00DF5F83">
      <w:rPr>
        <w:color w:val="0F172B"/>
        <w:spacing w:val="4"/>
        <w:sz w:val="18"/>
        <w:szCs w:val="18"/>
      </w:rPr>
      <w:t>Tämä on Wärtsilä</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Kestävä kehitys  </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Halli</w:t>
    </w:r>
    <w:r>
      <w:rPr>
        <w:color w:val="0F172B"/>
        <w:spacing w:val="4"/>
        <w:sz w:val="18"/>
        <w:szCs w:val="18"/>
      </w:rPr>
      <w:t>n</w:t>
    </w:r>
    <w:r w:rsidRPr="00DF5F83">
      <w:rPr>
        <w:color w:val="0F172B"/>
        <w:spacing w:val="4"/>
        <w:sz w:val="18"/>
        <w:szCs w:val="18"/>
      </w:rPr>
      <w:t xml:space="preserve">nointi </w:t>
    </w:r>
    <w:r>
      <w:rPr>
        <w:color w:val="0F172B"/>
        <w:spacing w:val="4"/>
        <w:sz w:val="18"/>
        <w:szCs w:val="18"/>
      </w:rPr>
      <w:t xml:space="preserve">  </w:t>
    </w:r>
    <w:r w:rsidRPr="00DF5F83">
      <w:rPr>
        <w:color w:val="0F172B"/>
        <w:spacing w:val="4"/>
        <w:sz w:val="18"/>
        <w:szCs w:val="18"/>
      </w:rPr>
      <w:t xml:space="preserve">   /</w:t>
    </w:r>
    <w:r w:rsidRPr="00DF5F83">
      <w:rPr>
        <w:color w:val="auto"/>
        <w:spacing w:val="4"/>
        <w:sz w:val="18"/>
        <w:szCs w:val="18"/>
      </w:rPr>
      <w:t xml:space="preserve">  </w:t>
    </w:r>
    <w:r>
      <w:rPr>
        <w:color w:val="auto"/>
        <w:spacing w:val="4"/>
        <w:sz w:val="18"/>
        <w:szCs w:val="18"/>
      </w:rPr>
      <w:t xml:space="preserve"> </w:t>
    </w:r>
    <w:r w:rsidRPr="00DF5F83">
      <w:rPr>
        <w:color w:val="auto"/>
        <w:spacing w:val="4"/>
        <w:sz w:val="18"/>
        <w:szCs w:val="18"/>
      </w:rPr>
      <w:t xml:space="preserve">   </w:t>
    </w:r>
    <w:r w:rsidRPr="00DF5F83">
      <w:rPr>
        <w:color w:val="FF7321"/>
        <w:spacing w:val="4"/>
        <w:sz w:val="18"/>
        <w:szCs w:val="18"/>
      </w:rPr>
      <w:t>Taloudellinen katsaus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D5" w:rsidRPr="00F96055" w:rsidP="000803D5" w14:textId="295BE2CF">
    <w:pPr>
      <w:pStyle w:val="WNormal"/>
      <w:tabs>
        <w:tab w:val="left" w:pos="0"/>
      </w:tabs>
      <w:jc w:val="right"/>
      <w:rPr>
        <w:color w:val="FF7321"/>
        <w:spacing w:val="40"/>
        <w:sz w:val="18"/>
      </w:rPr>
    </w:pPr>
    <w:r w:rsidRPr="00DF5F83">
      <w:rPr>
        <w:color w:val="0F172B"/>
        <w:spacing w:val="4"/>
        <w:sz w:val="18"/>
        <w:szCs w:val="18"/>
      </w:rPr>
      <w:t>Tämä on Wärtsilä</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Kestävä kehitys  </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Halli</w:t>
    </w:r>
    <w:r>
      <w:rPr>
        <w:color w:val="0F172B"/>
        <w:spacing w:val="4"/>
        <w:sz w:val="18"/>
        <w:szCs w:val="18"/>
      </w:rPr>
      <w:t>n</w:t>
    </w:r>
    <w:r w:rsidRPr="00DF5F83">
      <w:rPr>
        <w:color w:val="0F172B"/>
        <w:spacing w:val="4"/>
        <w:sz w:val="18"/>
        <w:szCs w:val="18"/>
      </w:rPr>
      <w:t xml:space="preserve">nointi </w:t>
    </w:r>
    <w:r>
      <w:rPr>
        <w:color w:val="0F172B"/>
        <w:spacing w:val="4"/>
        <w:sz w:val="18"/>
        <w:szCs w:val="18"/>
      </w:rPr>
      <w:t xml:space="preserve">  </w:t>
    </w:r>
    <w:r w:rsidRPr="00DF5F83">
      <w:rPr>
        <w:color w:val="0F172B"/>
        <w:spacing w:val="4"/>
        <w:sz w:val="18"/>
        <w:szCs w:val="18"/>
      </w:rPr>
      <w:t xml:space="preserve">   /</w:t>
    </w:r>
    <w:r w:rsidRPr="00DF5F83">
      <w:rPr>
        <w:color w:val="auto"/>
        <w:spacing w:val="4"/>
        <w:sz w:val="18"/>
        <w:szCs w:val="18"/>
      </w:rPr>
      <w:t xml:space="preserve">  </w:t>
    </w:r>
    <w:r>
      <w:rPr>
        <w:color w:val="auto"/>
        <w:spacing w:val="4"/>
        <w:sz w:val="18"/>
        <w:szCs w:val="18"/>
      </w:rPr>
      <w:t xml:space="preserve"> </w:t>
    </w:r>
    <w:r w:rsidRPr="00DF5F83">
      <w:rPr>
        <w:color w:val="auto"/>
        <w:spacing w:val="4"/>
        <w:sz w:val="18"/>
        <w:szCs w:val="18"/>
      </w:rPr>
      <w:t xml:space="preserve">   </w:t>
    </w:r>
    <w:r w:rsidRPr="00DF5F83">
      <w:rPr>
        <w:color w:val="FF7321"/>
        <w:spacing w:val="4"/>
        <w:sz w:val="18"/>
        <w:szCs w:val="18"/>
      </w:rPr>
      <w:t>Taloudellinen katsaus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C304C" w14:paraId="3263B22A" w14:textId="77777777">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D5" w:rsidRPr="00F96055" w:rsidP="000803D5" w14:textId="0153CB5A">
    <w:pPr>
      <w:pStyle w:val="WNormal"/>
      <w:tabs>
        <w:tab w:val="left" w:pos="0"/>
      </w:tabs>
      <w:jc w:val="right"/>
      <w:rPr>
        <w:color w:val="FF7321"/>
        <w:spacing w:val="40"/>
        <w:sz w:val="18"/>
      </w:rPr>
    </w:pPr>
    <w:r w:rsidRPr="00DF5F83">
      <w:rPr>
        <w:color w:val="0F172B"/>
        <w:spacing w:val="4"/>
        <w:sz w:val="18"/>
        <w:szCs w:val="18"/>
      </w:rPr>
      <w:t>Tämä on Wärtsilä</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Kestävä kehitys  </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Hallin</w:t>
    </w:r>
    <w:r>
      <w:rPr>
        <w:color w:val="0F172B"/>
        <w:spacing w:val="4"/>
        <w:sz w:val="18"/>
        <w:szCs w:val="18"/>
      </w:rPr>
      <w:t>n</w:t>
    </w:r>
    <w:r w:rsidRPr="00DF5F83">
      <w:rPr>
        <w:color w:val="0F172B"/>
        <w:spacing w:val="4"/>
        <w:sz w:val="18"/>
        <w:szCs w:val="18"/>
      </w:rPr>
      <w:t xml:space="preserve">ointi </w:t>
    </w:r>
    <w:r>
      <w:rPr>
        <w:color w:val="0F172B"/>
        <w:spacing w:val="4"/>
        <w:sz w:val="18"/>
        <w:szCs w:val="18"/>
      </w:rPr>
      <w:t xml:space="preserve">  </w:t>
    </w:r>
    <w:r w:rsidRPr="00DF5F83">
      <w:rPr>
        <w:color w:val="0F172B"/>
        <w:spacing w:val="4"/>
        <w:sz w:val="18"/>
        <w:szCs w:val="18"/>
      </w:rPr>
      <w:t xml:space="preserve">   /</w:t>
    </w:r>
    <w:r w:rsidRPr="00DF5F83">
      <w:rPr>
        <w:color w:val="auto"/>
        <w:spacing w:val="4"/>
        <w:sz w:val="18"/>
        <w:szCs w:val="18"/>
      </w:rPr>
      <w:t xml:space="preserve">  </w:t>
    </w:r>
    <w:r>
      <w:rPr>
        <w:color w:val="auto"/>
        <w:spacing w:val="4"/>
        <w:sz w:val="18"/>
        <w:szCs w:val="18"/>
      </w:rPr>
      <w:t xml:space="preserve"> </w:t>
    </w:r>
    <w:r w:rsidRPr="00DF5F83">
      <w:rPr>
        <w:color w:val="auto"/>
        <w:spacing w:val="4"/>
        <w:sz w:val="18"/>
        <w:szCs w:val="18"/>
      </w:rPr>
      <w:t xml:space="preserve">   </w:t>
    </w:r>
    <w:r w:rsidRPr="00DF5F83">
      <w:rPr>
        <w:color w:val="FF7321"/>
        <w:spacing w:val="4"/>
        <w:sz w:val="18"/>
        <w:szCs w:val="18"/>
      </w:rPr>
      <w:t>Taloudellinen katsaus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D5" w:rsidRPr="00F96055" w:rsidP="000803D5" w14:textId="0153CB5A">
    <w:pPr>
      <w:pStyle w:val="WNormal"/>
      <w:tabs>
        <w:tab w:val="left" w:pos="0"/>
      </w:tabs>
      <w:jc w:val="right"/>
      <w:rPr>
        <w:color w:val="FF7321"/>
        <w:spacing w:val="40"/>
        <w:sz w:val="18"/>
      </w:rPr>
    </w:pPr>
    <w:r w:rsidRPr="00DF5F83">
      <w:rPr>
        <w:color w:val="0F172B"/>
        <w:spacing w:val="4"/>
        <w:sz w:val="18"/>
        <w:szCs w:val="18"/>
      </w:rPr>
      <w:t>Tämä on Wärtsilä</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Kestävä kehitys  </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Hallin</w:t>
    </w:r>
    <w:r>
      <w:rPr>
        <w:color w:val="0F172B"/>
        <w:spacing w:val="4"/>
        <w:sz w:val="18"/>
        <w:szCs w:val="18"/>
      </w:rPr>
      <w:t>n</w:t>
    </w:r>
    <w:r w:rsidRPr="00DF5F83">
      <w:rPr>
        <w:color w:val="0F172B"/>
        <w:spacing w:val="4"/>
        <w:sz w:val="18"/>
        <w:szCs w:val="18"/>
      </w:rPr>
      <w:t xml:space="preserve">ointi </w:t>
    </w:r>
    <w:r>
      <w:rPr>
        <w:color w:val="0F172B"/>
        <w:spacing w:val="4"/>
        <w:sz w:val="18"/>
        <w:szCs w:val="18"/>
      </w:rPr>
      <w:t xml:space="preserve">  </w:t>
    </w:r>
    <w:r w:rsidRPr="00DF5F83">
      <w:rPr>
        <w:color w:val="0F172B"/>
        <w:spacing w:val="4"/>
        <w:sz w:val="18"/>
        <w:szCs w:val="18"/>
      </w:rPr>
      <w:t xml:space="preserve">   /</w:t>
    </w:r>
    <w:r w:rsidRPr="00DF5F83">
      <w:rPr>
        <w:color w:val="auto"/>
        <w:spacing w:val="4"/>
        <w:sz w:val="18"/>
        <w:szCs w:val="18"/>
      </w:rPr>
      <w:t xml:space="preserve">  </w:t>
    </w:r>
    <w:r>
      <w:rPr>
        <w:color w:val="auto"/>
        <w:spacing w:val="4"/>
        <w:sz w:val="18"/>
        <w:szCs w:val="18"/>
      </w:rPr>
      <w:t xml:space="preserve"> </w:t>
    </w:r>
    <w:r w:rsidRPr="00DF5F83">
      <w:rPr>
        <w:color w:val="auto"/>
        <w:spacing w:val="4"/>
        <w:sz w:val="18"/>
        <w:szCs w:val="18"/>
      </w:rPr>
      <w:t xml:space="preserve">   </w:t>
    </w:r>
    <w:r w:rsidRPr="00DF5F83">
      <w:rPr>
        <w:color w:val="FF7321"/>
        <w:spacing w:val="4"/>
        <w:sz w:val="18"/>
        <w:szCs w:val="18"/>
      </w:rPr>
      <w:t>Taloudellinen katsaus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70DC" w14:paraId="7FAB7899" w14:textId="77777777">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07D3" w14:paraId="05DD6D3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803D5" w:rsidRPr="00F96055" w:rsidP="000803D5" w14:textId="2BAF2FEA">
    <w:pPr>
      <w:pStyle w:val="WNormal"/>
      <w:tabs>
        <w:tab w:val="left" w:pos="0"/>
      </w:tabs>
      <w:jc w:val="right"/>
      <w:rPr>
        <w:color w:val="FF7321"/>
        <w:spacing w:val="40"/>
        <w:sz w:val="18"/>
      </w:rPr>
    </w:pPr>
    <w:r w:rsidRPr="00DF5F83">
      <w:rPr>
        <w:color w:val="0F172B"/>
        <w:spacing w:val="4"/>
        <w:sz w:val="18"/>
        <w:szCs w:val="18"/>
      </w:rPr>
      <w:t>Tämä on Wärtsilä</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Kestävä kehitys  </w:t>
    </w:r>
    <w:r>
      <w:rPr>
        <w:color w:val="0F172B"/>
        <w:spacing w:val="4"/>
        <w:sz w:val="18"/>
        <w:szCs w:val="18"/>
      </w:rPr>
      <w:t xml:space="preserve">  </w:t>
    </w:r>
    <w:r w:rsidRPr="00DF5F83">
      <w:rPr>
        <w:color w:val="0F172B"/>
        <w:spacing w:val="4"/>
        <w:sz w:val="18"/>
        <w:szCs w:val="18"/>
      </w:rPr>
      <w:t xml:space="preserve">  / </w:t>
    </w:r>
    <w:r>
      <w:rPr>
        <w:color w:val="0F172B"/>
        <w:spacing w:val="4"/>
        <w:sz w:val="18"/>
        <w:szCs w:val="18"/>
      </w:rPr>
      <w:t xml:space="preserve">  </w:t>
    </w:r>
    <w:r w:rsidRPr="00DF5F83">
      <w:rPr>
        <w:color w:val="0F172B"/>
        <w:spacing w:val="4"/>
        <w:sz w:val="18"/>
        <w:szCs w:val="18"/>
      </w:rPr>
      <w:t xml:space="preserve">   Hallin</w:t>
    </w:r>
    <w:r>
      <w:rPr>
        <w:color w:val="0F172B"/>
        <w:spacing w:val="4"/>
        <w:sz w:val="18"/>
        <w:szCs w:val="18"/>
      </w:rPr>
      <w:t>n</w:t>
    </w:r>
    <w:r w:rsidRPr="00DF5F83">
      <w:rPr>
        <w:color w:val="0F172B"/>
        <w:spacing w:val="4"/>
        <w:sz w:val="18"/>
        <w:szCs w:val="18"/>
      </w:rPr>
      <w:t xml:space="preserve">ointi </w:t>
    </w:r>
    <w:r>
      <w:rPr>
        <w:color w:val="0F172B"/>
        <w:spacing w:val="4"/>
        <w:sz w:val="18"/>
        <w:szCs w:val="18"/>
      </w:rPr>
      <w:t xml:space="preserve">  </w:t>
    </w:r>
    <w:r w:rsidRPr="00DF5F83">
      <w:rPr>
        <w:color w:val="0F172B"/>
        <w:spacing w:val="4"/>
        <w:sz w:val="18"/>
        <w:szCs w:val="18"/>
      </w:rPr>
      <w:t xml:space="preserve">   /</w:t>
    </w:r>
    <w:r w:rsidRPr="00DF5F83">
      <w:rPr>
        <w:color w:val="auto"/>
        <w:spacing w:val="4"/>
        <w:sz w:val="18"/>
        <w:szCs w:val="18"/>
      </w:rPr>
      <w:t xml:space="preserve">  </w:t>
    </w:r>
    <w:r>
      <w:rPr>
        <w:color w:val="auto"/>
        <w:spacing w:val="4"/>
        <w:sz w:val="18"/>
        <w:szCs w:val="18"/>
      </w:rPr>
      <w:t xml:space="preserve"> </w:t>
    </w:r>
    <w:r w:rsidRPr="00DF5F83">
      <w:rPr>
        <w:color w:val="auto"/>
        <w:spacing w:val="4"/>
        <w:sz w:val="18"/>
        <w:szCs w:val="18"/>
      </w:rPr>
      <w:t xml:space="preserve">   </w:t>
    </w:r>
    <w:r w:rsidRPr="00DF5F83">
      <w:rPr>
        <w:color w:val="FF7321"/>
        <w:spacing w:val="4"/>
        <w:sz w:val="18"/>
        <w:szCs w:val="18"/>
      </w:rPr>
      <w:t>Taloudellinen katsaus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107D3" w14:paraId="5E2F5D14" w14:textId="77777777">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0" w:rightFromText="180" w:vertAnchor="page" w:horzAnchor="page" w:tblpX="5511" w:tblpY="1036"/>
      <w:tblW w:w="3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1"/>
      <w:gridCol w:w="1024"/>
    </w:tblGrid>
    <w:tr w14:paraId="071989A2" w14:textId="77777777" w:rsidTr="008B432D">
      <w:tblPrEx>
        <w:tblW w:w="3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711" w:type="dxa"/>
          <w:vAlign w:val="center"/>
        </w:tcPr>
        <w:p w:rsidR="008B432D" w:rsidP="008B432D" w14:paraId="030CAD27" w14:textId="77777777">
          <w:pPr>
            <w:pStyle w:val="Header"/>
            <w:numPr>
              <w:ilvl w:val="0"/>
              <w:numId w:val="0"/>
            </w:numPr>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vertAlign w:val="baseline"/>
              <w:rtl w:val="0"/>
              <w:cs w:val="0"/>
              <w:lang w:val="en-GB" w:eastAsia="en-US" w:bidi="ar-SA"/>
            </w:rPr>
          </w:pPr>
        </w:p>
      </w:tc>
      <w:tc>
        <w:tcPr>
          <w:tcW w:w="1024" w:type="dxa"/>
          <w:vAlign w:val="center"/>
        </w:tcPr>
        <w:p w:rsidR="008B432D" w:rsidP="008B432D" w14:paraId="185B7162" w14:textId="77777777">
          <w:pPr>
            <w:pStyle w:val="Footer"/>
            <w:numPr>
              <w:ilvl w:val="0"/>
              <w:numId w:val="0"/>
            </w:numPr>
            <w:jc w:val="right"/>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vertAlign w:val="baseline"/>
              <w:rtl w:val="0"/>
              <w:cs w:val="0"/>
              <w:lang w:val="en-GB" w:eastAsia="en-US" w:bidi="ar-SA"/>
            </w:rPr>
          </w:pPr>
        </w:p>
      </w:tc>
    </w:tr>
  </w:tbl>
  <w:p w:rsidR="00F825C5" w:rsidRPr="00255C36" w:rsidP="007D64C1" w14:paraId="79C1CBD6" w14:textId="77777777">
    <w:pPr>
      <w:pStyle w:val="Header"/>
      <w:keepNext w:val="0"/>
      <w:keepLines w:val="0"/>
      <w:pageBreakBefore w:val="0"/>
      <w:framePr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240" w:afterAutospacing="0" w:line="240" w:lineRule="auto"/>
      <w:ind w:left="0" w:right="0" w:firstLine="0"/>
      <w:contextualSpacing w:val="0"/>
      <w:jc w:val="left"/>
      <w:outlineLvl w:val="9"/>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vertAlign w:val="baseline"/>
        <w:rtl w:val="0"/>
        <w:cs w:val="0"/>
        <w:lang w:val="en-GB" w:eastAsia="en-US" w:bidi="ar-SA"/>
      </w:rPr>
    </w:pPr>
    <w:r>
      <w:rPr>
        <w:rFonts w:ascii="Georgia" w:eastAsia="Arial" w:hAnsi="Georgia" w:cs="Times New Roman"/>
        <w:b w:val="0"/>
        <w:bCs w:val="0"/>
        <w:i w:val="0"/>
        <w:iCs w:val="0"/>
        <w:caps w:val="0"/>
        <w:smallCaps w:val="0"/>
        <w:strike w:val="0"/>
        <w:dstrike w:val="0"/>
        <w:outline w:val="0"/>
        <w:shadow w:val="0"/>
        <w:emboss w:val="0"/>
        <w:imprint w:val="0"/>
        <w:noProof/>
        <w:vanish w:val="0"/>
        <w:color w:val="auto"/>
        <w:spacing w:val="0"/>
        <w:w w:val="100"/>
        <w:kern w:val="0"/>
        <w:position w:val="0"/>
        <w:sz w:val="20"/>
        <w:szCs w:val="20"/>
        <w:highlight w:val="none"/>
        <w:u w:val="none"/>
        <w:effect w:val="none"/>
        <w:bdr w:val="nil"/>
        <w:shd w:val="clear" w:color="auto" w:fill="auto"/>
        <w:vertAlign w:val="baseline"/>
        <w:rtl w:val="0"/>
        <w:cs w:val="0"/>
        <w:lang w:val="en-US" w:eastAsia="zh-CN" w:bidi="ar-SA"/>
      </w:rPr>
      <w:drawing>
        <wp:anchor distT="0" distB="0" distL="114300" distR="114300" simplePos="0" relativeHeight="251659264" behindDoc="0" locked="1" layoutInCell="1" allowOverlap="1">
          <wp:simplePos x="0" y="0"/>
          <wp:positionH relativeFrom="page">
            <wp:posOffset>428625</wp:posOffset>
          </wp:positionH>
          <wp:positionV relativeFrom="page">
            <wp:posOffset>205105</wp:posOffset>
          </wp:positionV>
          <wp:extent cx="1409700" cy="1190625"/>
          <wp:effectExtent l="0" t="0" r="0" b="0"/>
          <wp:wrapNone/>
          <wp:docPr id="470081504" name="Picture 3" descr="PwC_fl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4772" name="PwC_fl_c.png"/>
                  <pic:cNvPicPr/>
                </pic:nvPicPr>
                <pic:blipFill>
                  <a:blip xmlns:r="http://schemas.openxmlformats.org/officeDocument/2006/relationships" r:embed="rId1"/>
                  <a:stretch>
                    <a:fillRect/>
                  </a:stretch>
                </pic:blipFill>
                <pic:spPr>
                  <a:xfrm>
                    <a:off x="0" y="0"/>
                    <a:ext cx="1409700" cy="1190625"/>
                  </a:xfrm>
                  <a:prstGeom prst="rect">
                    <a:avLst/>
                  </a:prstGeom>
                </pic:spPr>
              </pic:pic>
            </a:graphicData>
          </a:graphic>
        </wp:anchor>
      </w:drawing>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pPr w:leftFromText="180" w:rightFromText="180" w:vertAnchor="page" w:horzAnchor="page" w:tblpX="5511" w:tblpY="1036"/>
      <w:tblW w:w="3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1"/>
      <w:gridCol w:w="1024"/>
    </w:tblGrid>
    <w:tr w14:paraId="071989A2" w14:textId="77777777" w:rsidTr="008B432D">
      <w:tblPrEx>
        <w:tblW w:w="37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2711" w:type="dxa"/>
          <w:vAlign w:val="center"/>
        </w:tcPr>
        <w:p w:rsidR="008B432D" w:rsidP="008B432D" w14:paraId="030CAD27" w14:textId="77777777">
          <w:pPr>
            <w:pStyle w:val="Header"/>
            <w:numPr>
              <w:ilvl w:val="0"/>
              <w:numId w:val="0"/>
            </w:numPr>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vertAlign w:val="baseline"/>
              <w:rtl w:val="0"/>
              <w:cs w:val="0"/>
              <w:lang w:val="en-GB" w:eastAsia="en-US" w:bidi="ar-SA"/>
            </w:rPr>
          </w:pPr>
        </w:p>
      </w:tc>
      <w:tc>
        <w:tcPr>
          <w:tcW w:w="1024" w:type="dxa"/>
          <w:vAlign w:val="center"/>
        </w:tcPr>
        <w:p w:rsidR="008B432D" w:rsidP="008B432D" w14:paraId="185B7162" w14:textId="77777777">
          <w:pPr>
            <w:pStyle w:val="Footer"/>
            <w:numPr>
              <w:ilvl w:val="0"/>
              <w:numId w:val="0"/>
            </w:numPr>
            <w:jc w:val="right"/>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vertAlign w:val="baseline"/>
              <w:rtl w:val="0"/>
              <w:cs w:val="0"/>
              <w:lang w:val="en-GB" w:eastAsia="en-US" w:bidi="ar-SA"/>
            </w:rPr>
          </w:pPr>
        </w:p>
      </w:tc>
    </w:tr>
  </w:tbl>
  <w:p w:rsidR="00F825C5" w:rsidRPr="00255C36" w:rsidP="007D64C1" w14:paraId="79C1CBD6" w14:textId="77777777">
    <w:pPr>
      <w:pStyle w:val="Header"/>
      <w:keepNext w:val="0"/>
      <w:keepLines w:val="0"/>
      <w:pageBreakBefore w:val="0"/>
      <w:framePr w:lines="0"/>
      <w:widowControl/>
      <w:numPr>
        <w:ilvl w:val="0"/>
        <w:numId w:val="0"/>
      </w:numPr>
      <w:suppressLineNumbers w:val="0"/>
      <w:pBdr>
        <w:top w:val="nil"/>
        <w:left w:val="nil"/>
        <w:bottom w:val="nil"/>
        <w:right w:val="nil"/>
        <w:between w:val="nil"/>
        <w:bar w:val="nil"/>
      </w:pBdr>
      <w:shd w:val="clear" w:color="auto" w:fill="auto"/>
      <w:suppressAutoHyphens w:val="0"/>
      <w:bidi w:val="0"/>
      <w:spacing w:before="0" w:beforeAutospacing="0" w:after="240" w:afterAutospacing="0" w:line="240" w:lineRule="auto"/>
      <w:ind w:left="0" w:right="0" w:firstLine="0"/>
      <w:contextualSpacing w:val="0"/>
      <w:jc w:val="left"/>
      <w:outlineLvl w:val="9"/>
      <w:rPr>
        <w:rFonts w:ascii="Georgia" w:eastAsia="Arial" w:hAnsi="Georgia" w:cs="Times New Roman"/>
        <w:b w:val="0"/>
        <w:bCs w:val="0"/>
        <w:i w:val="0"/>
        <w:iCs w:val="0"/>
        <w:caps w:val="0"/>
        <w:smallCaps w:val="0"/>
        <w:strike w:val="0"/>
        <w:dstrike w:val="0"/>
        <w:outline w:val="0"/>
        <w:shadow w:val="0"/>
        <w:emboss w:val="0"/>
        <w:imprint w:val="0"/>
        <w:noProof w:val="0"/>
        <w:vanish w:val="0"/>
        <w:color w:val="auto"/>
        <w:spacing w:val="0"/>
        <w:w w:val="100"/>
        <w:kern w:val="0"/>
        <w:position w:val="0"/>
        <w:sz w:val="20"/>
        <w:szCs w:val="20"/>
        <w:highlight w:val="none"/>
        <w:u w:val="none"/>
        <w:effect w:val="none"/>
        <w:bdr w:val="nil"/>
        <w:shd w:val="clear" w:color="auto" w:fill="auto"/>
        <w:vertAlign w:val="baseline"/>
        <w:rtl w:val="0"/>
        <w:cs w:val="0"/>
        <w:lang w:val="en-GB" w:eastAsia="en-US" w:bidi="ar-SA"/>
      </w:rPr>
    </w:pPr>
    <w:r>
      <w:rPr>
        <w:rFonts w:ascii="Georgia" w:eastAsia="Arial" w:hAnsi="Georgia" w:cs="Times New Roman"/>
        <w:b w:val="0"/>
        <w:bCs w:val="0"/>
        <w:i w:val="0"/>
        <w:iCs w:val="0"/>
        <w:caps w:val="0"/>
        <w:smallCaps w:val="0"/>
        <w:strike w:val="0"/>
        <w:dstrike w:val="0"/>
        <w:outline w:val="0"/>
        <w:shadow w:val="0"/>
        <w:emboss w:val="0"/>
        <w:imprint w:val="0"/>
        <w:noProof/>
        <w:vanish w:val="0"/>
        <w:color w:val="auto"/>
        <w:spacing w:val="0"/>
        <w:w w:val="100"/>
        <w:kern w:val="0"/>
        <w:position w:val="0"/>
        <w:sz w:val="20"/>
        <w:szCs w:val="20"/>
        <w:highlight w:val="none"/>
        <w:u w:val="none"/>
        <w:effect w:val="none"/>
        <w:bdr w:val="nil"/>
        <w:shd w:val="clear" w:color="auto" w:fill="auto"/>
        <w:vertAlign w:val="baseline"/>
        <w:rtl w:val="0"/>
        <w:cs w:val="0"/>
        <w:lang w:val="en-US" w:eastAsia="zh-CN" w:bidi="ar-SA"/>
      </w:rPr>
      <w:drawing>
        <wp:anchor distT="0" distB="0" distL="114300" distR="114300" simplePos="0" relativeHeight="251658240" behindDoc="0" locked="1" layoutInCell="1" allowOverlap="1">
          <wp:simplePos x="0" y="0"/>
          <wp:positionH relativeFrom="page">
            <wp:posOffset>428625</wp:posOffset>
          </wp:positionH>
          <wp:positionV relativeFrom="page">
            <wp:posOffset>205105</wp:posOffset>
          </wp:positionV>
          <wp:extent cx="1409700" cy="1190625"/>
          <wp:effectExtent l="0" t="0" r="0" b="0"/>
          <wp:wrapNone/>
          <wp:docPr id="584978889" name="Picture 3" descr="PwC_fl_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877949" name="PwC_fl_c.png"/>
                  <pic:cNvPicPr/>
                </pic:nvPicPr>
                <pic:blipFill>
                  <a:blip xmlns:r="http://schemas.openxmlformats.org/officeDocument/2006/relationships" r:embed="rId1"/>
                  <a:stretch>
                    <a:fillRect/>
                  </a:stretch>
                </pic:blipFill>
                <pic:spPr>
                  <a:xfrm>
                    <a:off x="0" y="0"/>
                    <a:ext cx="1409700" cy="1190625"/>
                  </a:xfrm>
                  <a:prstGeom prst="rect">
                    <a:avLst/>
                  </a:prstGeom>
                </pic:spPr>
              </pic:pic>
            </a:graphicData>
          </a:graphic>
        </wp:anchor>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BD20270"/>
    <w:multiLevelType w:val="multilevel"/>
    <w:tmpl w:val="8D86BC78"/>
    <w:styleLink w:val="TableListNumber"/>
    <w:lvl w:ilvl="0">
      <w:start w:val="1"/>
      <w:numFmt w:val="none"/>
      <w:suff w:val="nothing"/>
      <w:lvlJc w:val="left"/>
      <w:pPr>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794"/>
        </w:tabs>
        <w:ind w:left="794" w:hanging="397"/>
      </w:pPr>
      <w:rPr>
        <w:rFonts w:hint="default"/>
      </w:rPr>
    </w:lvl>
    <w:lvl w:ilvl="3">
      <w:start w:val="1"/>
      <w:numFmt w:val="bullet"/>
      <w:lvlText w:val=""/>
      <w:lvlJc w:val="left"/>
      <w:pPr>
        <w:tabs>
          <w:tab w:val="num" w:pos="1191"/>
        </w:tabs>
        <w:ind w:left="1191" w:hanging="397"/>
      </w:pPr>
      <w:rPr>
        <w:rFonts w:ascii="Symbol" w:hAnsi="Symbol" w:hint="default"/>
        <w:color w:val="auto"/>
      </w:rPr>
    </w:lvl>
    <w:lvl w:ilvl="4">
      <w:start w:val="1"/>
      <w:numFmt w:val="none"/>
      <w:lvlJc w:val="left"/>
      <w:pPr>
        <w:tabs>
          <w:tab w:val="num" w:pos="1985"/>
        </w:tabs>
        <w:ind w:left="1985" w:hanging="397"/>
      </w:pPr>
      <w:rPr>
        <w:rFonts w:hint="default"/>
      </w:rPr>
    </w:lvl>
    <w:lvl w:ilvl="5">
      <w:start w:val="1"/>
      <w:numFmt w:val="lowerRoman"/>
      <w:lvlText w:val="(%6)"/>
      <w:lvlJc w:val="left"/>
      <w:pPr>
        <w:tabs>
          <w:tab w:val="num" w:pos="2382"/>
        </w:tabs>
        <w:ind w:left="1985" w:firstLine="0"/>
      </w:pPr>
      <w:rPr>
        <w:rFonts w:hint="default"/>
      </w:rPr>
    </w:lvl>
    <w:lvl w:ilvl="6">
      <w:start w:val="1"/>
      <w:numFmt w:val="decimal"/>
      <w:lvlText w:val="%7."/>
      <w:lvlJc w:val="left"/>
      <w:pPr>
        <w:tabs>
          <w:tab w:val="num" w:pos="2779"/>
        </w:tabs>
        <w:ind w:left="2382" w:firstLine="0"/>
      </w:pPr>
      <w:rPr>
        <w:rFonts w:hint="default"/>
      </w:rPr>
    </w:lvl>
    <w:lvl w:ilvl="7">
      <w:start w:val="1"/>
      <w:numFmt w:val="lowerLetter"/>
      <w:lvlText w:val="%8."/>
      <w:lvlJc w:val="left"/>
      <w:pPr>
        <w:tabs>
          <w:tab w:val="num" w:pos="3176"/>
        </w:tabs>
        <w:ind w:left="2779" w:firstLine="0"/>
      </w:pPr>
      <w:rPr>
        <w:rFonts w:hint="default"/>
      </w:rPr>
    </w:lvl>
    <w:lvl w:ilvl="8">
      <w:start w:val="1"/>
      <w:numFmt w:val="lowerRoman"/>
      <w:lvlText w:val="%9."/>
      <w:lvlJc w:val="left"/>
      <w:pPr>
        <w:tabs>
          <w:tab w:val="num" w:pos="3573"/>
        </w:tabs>
        <w:ind w:left="3176" w:firstLine="0"/>
      </w:pPr>
      <w:rPr>
        <w:rFonts w:hint="default"/>
      </w:rPr>
    </w:lvl>
  </w:abstractNum>
  <w:abstractNum w:abstractNumId="1">
    <w:nsid w:val="28905486"/>
    <w:multiLevelType w:val="multilevel"/>
    <w:tmpl w:val="EB1C10DA"/>
    <w:lvl w:ilvl="0">
      <w:start w:val="1"/>
      <w:numFmt w:val="bullet"/>
      <w:pStyle w:val="ListBullet"/>
      <w:lvlText w:val=""/>
      <w:lvlJc w:val="left"/>
      <w:pPr>
        <w:ind w:left="360" w:hanging="360"/>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Georgia" w:hAnsi="Georgia" w:hint="default"/>
        <w:b/>
      </w:rPr>
    </w:lvl>
    <w:lvl w:ilvl="3">
      <w:start w:val="1"/>
      <w:numFmt w:val="bullet"/>
      <w:pStyle w:val="ListBullet4"/>
      <w:lvlText w:val=""/>
      <w:lvlJc w:val="left"/>
      <w:pPr>
        <w:tabs>
          <w:tab w:val="num" w:pos="2268"/>
        </w:tabs>
        <w:ind w:left="2268" w:hanging="567"/>
      </w:pPr>
      <w:rPr>
        <w:rFonts w:ascii="Symbol" w:hAnsi="Symbol" w:hint="default"/>
      </w:rPr>
    </w:lvl>
    <w:lvl w:ilvl="4">
      <w:start w:val="1"/>
      <w:numFmt w:val="bullet"/>
      <w:pStyle w:val="ListBullet5"/>
      <w:lvlText w:val="~"/>
      <w:lvlJc w:val="left"/>
      <w:pPr>
        <w:tabs>
          <w:tab w:val="num" w:pos="2835"/>
        </w:tabs>
        <w:ind w:left="2835" w:hanging="567"/>
      </w:pPr>
      <w:rPr>
        <w:rFonts w:ascii="Georgia" w:hAnsi="Georgia"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3969"/>
        </w:tabs>
        <w:ind w:left="3969" w:hanging="567"/>
      </w:pPr>
      <w:rPr>
        <w:rFonts w:ascii="Symbol" w:hAnsi="Symbol" w:hint="default"/>
      </w:rPr>
    </w:lvl>
    <w:lvl w:ilvl="7">
      <w:start w:val="1"/>
      <w:numFmt w:val="bullet"/>
      <w:lvlText w:val=""/>
      <w:lvlJc w:val="left"/>
      <w:pPr>
        <w:tabs>
          <w:tab w:val="num" w:pos="4536"/>
        </w:tabs>
        <w:ind w:left="4536" w:hanging="567"/>
      </w:pPr>
      <w:rPr>
        <w:rFonts w:ascii="Symbol" w:hAnsi="Symbol" w:hint="default"/>
      </w:rPr>
    </w:lvl>
    <w:lvl w:ilvl="8">
      <w:start w:val="1"/>
      <w:numFmt w:val="bullet"/>
      <w:lvlText w:val=""/>
      <w:lvlJc w:val="left"/>
      <w:pPr>
        <w:tabs>
          <w:tab w:val="num" w:pos="5103"/>
        </w:tabs>
        <w:ind w:left="5103" w:hanging="567"/>
      </w:pPr>
      <w:rPr>
        <w:rFonts w:ascii="Symbol" w:hAnsi="Symbol" w:hint="default"/>
      </w:rPr>
    </w:lvl>
  </w:abstractNum>
  <w:abstractNum w:abstractNumId="2">
    <w:nsid w:val="40CC1813"/>
    <w:multiLevelType w:val="multilevel"/>
    <w:tmpl w:val="8D86BC78"/>
    <w:numStyleLink w:val="TableListNumber"/>
  </w:abstractNum>
  <w:abstractNum w:abstractNumId="3">
    <w:nsid w:val="417901F7"/>
    <w:multiLevelType w:val="hybridMultilevel"/>
    <w:tmpl w:val="1B2261EC"/>
    <w:lvl w:ilvl="0">
      <w:start w:val="0"/>
      <w:numFmt w:val="bullet"/>
      <w:lvlText w:val="-"/>
      <w:lvlJc w:val="left"/>
      <w:pPr>
        <w:ind w:left="360" w:hanging="360"/>
      </w:pPr>
      <w:rPr>
        <w:rFonts w:ascii="Calibri" w:hAnsi="Calibri" w:eastAsiaTheme="minorEastAsia" w:cstheme="minorBidi"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
    <w:nsid w:val="49050105"/>
    <w:multiLevelType w:val="hybridMultilevel"/>
    <w:tmpl w:val="7EAC0FA6"/>
    <w:lvl w:ilvl="0">
      <w:start w:val="1"/>
      <w:numFmt w:val="bullet"/>
      <w:lvlText w:val=""/>
      <w:lvlJc w:val="left"/>
      <w:pPr>
        <w:ind w:left="1080" w:hanging="72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51B42091"/>
    <w:multiLevelType w:val="multilevel"/>
    <w:tmpl w:val="5DA87028"/>
    <w:lvl w:ilvl="0">
      <w:start w:val="1"/>
      <w:numFmt w:val="bullet"/>
      <w:pStyle w:val="TableBodyListBullet"/>
      <w:lvlText w:val=""/>
      <w:lvlJc w:val="left"/>
      <w:pPr>
        <w:tabs>
          <w:tab w:val="num" w:pos="397"/>
        </w:tabs>
        <w:ind w:left="397" w:hanging="397"/>
      </w:pPr>
      <w:rPr>
        <w:rFonts w:ascii="Symbol" w:hAnsi="Symbol" w:hint="default"/>
        <w:color w:val="auto"/>
      </w:rPr>
    </w:lvl>
    <w:lvl w:ilvl="1">
      <w:start w:val="1"/>
      <w:numFmt w:val="bullet"/>
      <w:lvlText w:val="­"/>
      <w:lvlJc w:val="left"/>
      <w:pPr>
        <w:tabs>
          <w:tab w:val="num" w:pos="794"/>
        </w:tabs>
        <w:ind w:left="794" w:hanging="397"/>
      </w:pPr>
      <w:rPr>
        <w:rFonts w:ascii="Courier New" w:hAnsi="Courier New" w:hint="default"/>
        <w:color w:val="44546A" w:themeColor="text2"/>
      </w:rPr>
    </w:lvl>
    <w:lvl w:ilvl="2">
      <w:start w:val="1"/>
      <w:numFmt w:val="bullet"/>
      <w:lvlText w:val="­"/>
      <w:lvlJc w:val="left"/>
      <w:pPr>
        <w:tabs>
          <w:tab w:val="num" w:pos="794"/>
        </w:tabs>
        <w:ind w:left="794" w:hanging="397"/>
      </w:pPr>
      <w:rPr>
        <w:rFonts w:ascii="Courier New" w:hAnsi="Courier New" w:hint="default"/>
        <w:color w:val="auto"/>
      </w:rPr>
    </w:lvl>
    <w:lvl w:ilvl="3">
      <w:start w:val="1"/>
      <w:numFmt w:val="decimal"/>
      <w:lvlText w:val="(%4)"/>
      <w:lvlJc w:val="left"/>
      <w:pPr>
        <w:tabs>
          <w:tab w:val="num" w:pos="1191"/>
        </w:tabs>
        <w:ind w:left="1191" w:hanging="397"/>
      </w:pPr>
      <w:rPr>
        <w:rFonts w:hint="default"/>
      </w:rPr>
    </w:lvl>
    <w:lvl w:ilvl="4">
      <w:start w:val="1"/>
      <w:numFmt w:val="lowerLetter"/>
      <w:lvlText w:val="(%5)"/>
      <w:lvlJc w:val="left"/>
      <w:pPr>
        <w:tabs>
          <w:tab w:val="num" w:pos="1985"/>
        </w:tabs>
        <w:ind w:left="1985" w:hanging="397"/>
      </w:pPr>
      <w:rPr>
        <w:rFonts w:hint="default"/>
      </w:rPr>
    </w:lvl>
    <w:lvl w:ilvl="5">
      <w:start w:val="1"/>
      <w:numFmt w:val="lowerRoman"/>
      <w:lvlText w:val="(%6)"/>
      <w:lvlJc w:val="left"/>
      <w:pPr>
        <w:tabs>
          <w:tab w:val="num" w:pos="2382"/>
        </w:tabs>
        <w:ind w:left="1985" w:firstLine="0"/>
      </w:pPr>
      <w:rPr>
        <w:rFonts w:hint="default"/>
      </w:rPr>
    </w:lvl>
    <w:lvl w:ilvl="6">
      <w:start w:val="1"/>
      <w:numFmt w:val="decimal"/>
      <w:lvlText w:val="%7."/>
      <w:lvlJc w:val="left"/>
      <w:pPr>
        <w:tabs>
          <w:tab w:val="num" w:pos="2779"/>
        </w:tabs>
        <w:ind w:left="2382" w:firstLine="0"/>
      </w:pPr>
      <w:rPr>
        <w:rFonts w:hint="default"/>
      </w:rPr>
    </w:lvl>
    <w:lvl w:ilvl="7">
      <w:start w:val="1"/>
      <w:numFmt w:val="lowerLetter"/>
      <w:lvlText w:val="%8."/>
      <w:lvlJc w:val="left"/>
      <w:pPr>
        <w:tabs>
          <w:tab w:val="num" w:pos="3176"/>
        </w:tabs>
        <w:ind w:left="2779" w:firstLine="0"/>
      </w:pPr>
      <w:rPr>
        <w:rFonts w:hint="default"/>
      </w:rPr>
    </w:lvl>
    <w:lvl w:ilvl="8">
      <w:start w:val="1"/>
      <w:numFmt w:val="lowerRoman"/>
      <w:lvlText w:val="%9."/>
      <w:lvlJc w:val="left"/>
      <w:pPr>
        <w:tabs>
          <w:tab w:val="num" w:pos="3573"/>
        </w:tabs>
        <w:ind w:left="3176" w:firstLine="0"/>
      </w:pPr>
      <w:rPr>
        <w:rFonts w:hint="default"/>
      </w:rPr>
    </w:lvl>
  </w:abstractNum>
  <w:abstractNum w:abstractNumId="6">
    <w:nsid w:val="569265D2"/>
    <w:multiLevelType w:val="hybridMultilevel"/>
    <w:tmpl w:val="C8A4FA56"/>
    <w:lvl w:ilvl="0">
      <w:start w:val="0"/>
      <w:numFmt w:val="bullet"/>
      <w:lvlText w:val="-"/>
      <w:lvlJc w:val="left"/>
      <w:pPr>
        <w:ind w:left="360" w:hanging="360"/>
      </w:pPr>
      <w:rPr>
        <w:rFonts w:ascii="Calibri" w:hAnsi="Calibri" w:eastAsiaTheme="minorEastAsia" w:cstheme="minorBidi"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59B71CF5"/>
    <w:multiLevelType w:val="hybridMultilevel"/>
    <w:tmpl w:val="2F0A026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61206003"/>
    <w:multiLevelType w:val="hybridMultilevel"/>
    <w:tmpl w:val="21EE1C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627904ED"/>
    <w:multiLevelType w:val="hybridMultilevel"/>
    <w:tmpl w:val="C9C8A992"/>
    <w:lvl w:ilvl="0">
      <w:start w:val="1"/>
      <w:numFmt w:val="bullet"/>
      <w:lvlText w:val="-"/>
      <w:lvlJc w:val="left"/>
      <w:pPr>
        <w:ind w:left="360" w:hanging="360"/>
      </w:pPr>
      <w:rPr>
        <w:rFonts w:ascii="Arial" w:hAnsi="Arial" w:eastAsiaTheme="minorHAnsi" w:cs="Aria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8"/>
  </w:num>
  <w:num w:numId="2">
    <w:abstractNumId w:val="9"/>
  </w:num>
  <w:num w:numId="3">
    <w:abstractNumId w:val="1"/>
  </w:num>
  <w:num w:numId="4">
    <w:abstractNumId w:val="5"/>
  </w:num>
  <w:num w:numId="5">
    <w:abstractNumId w:val="2"/>
  </w:num>
  <w:num w:numId="6">
    <w:abstractNumId w:val="0"/>
  </w:num>
  <w:num w:numId="7">
    <w:abstractNumId w:val="6"/>
  </w:num>
  <w:num w:numId="8">
    <w:abstractNumId w:val="3"/>
  </w:num>
  <w:num w:numId="9">
    <w:abstractNumId w:val="4"/>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284"/>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D7D"/>
    <w:rsid w:val="000047D6"/>
    <w:rsid w:val="000108AA"/>
    <w:rsid w:val="000117AA"/>
    <w:rsid w:val="000125B0"/>
    <w:rsid w:val="0001456E"/>
    <w:rsid w:val="0001627E"/>
    <w:rsid w:val="00016E8D"/>
    <w:rsid w:val="00024588"/>
    <w:rsid w:val="00024D0C"/>
    <w:rsid w:val="00030068"/>
    <w:rsid w:val="00030F0B"/>
    <w:rsid w:val="0004013D"/>
    <w:rsid w:val="00040F29"/>
    <w:rsid w:val="00040FD4"/>
    <w:rsid w:val="00042899"/>
    <w:rsid w:val="00043B43"/>
    <w:rsid w:val="00044FAC"/>
    <w:rsid w:val="000452E2"/>
    <w:rsid w:val="00045724"/>
    <w:rsid w:val="00046616"/>
    <w:rsid w:val="00050751"/>
    <w:rsid w:val="00052A68"/>
    <w:rsid w:val="00054E7C"/>
    <w:rsid w:val="00060298"/>
    <w:rsid w:val="000609B9"/>
    <w:rsid w:val="000623F5"/>
    <w:rsid w:val="000633DC"/>
    <w:rsid w:val="00063888"/>
    <w:rsid w:val="000646BE"/>
    <w:rsid w:val="0006513D"/>
    <w:rsid w:val="00066ABD"/>
    <w:rsid w:val="00072222"/>
    <w:rsid w:val="00073372"/>
    <w:rsid w:val="000803D5"/>
    <w:rsid w:val="00080D1A"/>
    <w:rsid w:val="00081B6A"/>
    <w:rsid w:val="00081DCE"/>
    <w:rsid w:val="00085206"/>
    <w:rsid w:val="00091BE3"/>
    <w:rsid w:val="00092568"/>
    <w:rsid w:val="0009561B"/>
    <w:rsid w:val="00096407"/>
    <w:rsid w:val="000A0EFF"/>
    <w:rsid w:val="000A5898"/>
    <w:rsid w:val="000B00D3"/>
    <w:rsid w:val="000B0EB2"/>
    <w:rsid w:val="000B312C"/>
    <w:rsid w:val="000B36F1"/>
    <w:rsid w:val="000B38D6"/>
    <w:rsid w:val="000B3926"/>
    <w:rsid w:val="000B44F7"/>
    <w:rsid w:val="000B7B5D"/>
    <w:rsid w:val="000C0A20"/>
    <w:rsid w:val="000C2C06"/>
    <w:rsid w:val="000C6BA7"/>
    <w:rsid w:val="000C6E13"/>
    <w:rsid w:val="000C7B5D"/>
    <w:rsid w:val="000D2F5B"/>
    <w:rsid w:val="000D6EC7"/>
    <w:rsid w:val="000E0CC0"/>
    <w:rsid w:val="000F6D5B"/>
    <w:rsid w:val="0010272A"/>
    <w:rsid w:val="001062DB"/>
    <w:rsid w:val="00110576"/>
    <w:rsid w:val="0011431B"/>
    <w:rsid w:val="00114613"/>
    <w:rsid w:val="00116433"/>
    <w:rsid w:val="00123047"/>
    <w:rsid w:val="00124770"/>
    <w:rsid w:val="0012502F"/>
    <w:rsid w:val="0012573E"/>
    <w:rsid w:val="00126558"/>
    <w:rsid w:val="00126FBB"/>
    <w:rsid w:val="001354D2"/>
    <w:rsid w:val="00135605"/>
    <w:rsid w:val="0013636A"/>
    <w:rsid w:val="00137450"/>
    <w:rsid w:val="00140E6B"/>
    <w:rsid w:val="00141345"/>
    <w:rsid w:val="00142591"/>
    <w:rsid w:val="001439B2"/>
    <w:rsid w:val="00145434"/>
    <w:rsid w:val="00150B39"/>
    <w:rsid w:val="00151C28"/>
    <w:rsid w:val="001617F3"/>
    <w:rsid w:val="00164D7D"/>
    <w:rsid w:val="00167A85"/>
    <w:rsid w:val="0017602D"/>
    <w:rsid w:val="00176084"/>
    <w:rsid w:val="00180B6E"/>
    <w:rsid w:val="00180DBB"/>
    <w:rsid w:val="001819C2"/>
    <w:rsid w:val="00185E42"/>
    <w:rsid w:val="00186455"/>
    <w:rsid w:val="0019007A"/>
    <w:rsid w:val="00190D87"/>
    <w:rsid w:val="001935EE"/>
    <w:rsid w:val="001940A7"/>
    <w:rsid w:val="001952D3"/>
    <w:rsid w:val="00197545"/>
    <w:rsid w:val="001B28EB"/>
    <w:rsid w:val="001C7D99"/>
    <w:rsid w:val="001D0996"/>
    <w:rsid w:val="001D140F"/>
    <w:rsid w:val="001D18D8"/>
    <w:rsid w:val="001D1D9D"/>
    <w:rsid w:val="001D7267"/>
    <w:rsid w:val="001E173A"/>
    <w:rsid w:val="001E3209"/>
    <w:rsid w:val="001E66D6"/>
    <w:rsid w:val="001E7D0E"/>
    <w:rsid w:val="001F30AF"/>
    <w:rsid w:val="00205468"/>
    <w:rsid w:val="0020616A"/>
    <w:rsid w:val="00213D96"/>
    <w:rsid w:val="00215BC6"/>
    <w:rsid w:val="002164AB"/>
    <w:rsid w:val="00216C08"/>
    <w:rsid w:val="002207B9"/>
    <w:rsid w:val="00223151"/>
    <w:rsid w:val="00224CB7"/>
    <w:rsid w:val="0022534C"/>
    <w:rsid w:val="00225DC5"/>
    <w:rsid w:val="002303FA"/>
    <w:rsid w:val="002325EE"/>
    <w:rsid w:val="00232A17"/>
    <w:rsid w:val="00251326"/>
    <w:rsid w:val="0025158F"/>
    <w:rsid w:val="00252075"/>
    <w:rsid w:val="00253764"/>
    <w:rsid w:val="00255C36"/>
    <w:rsid w:val="00257AC0"/>
    <w:rsid w:val="0026008C"/>
    <w:rsid w:val="002603B1"/>
    <w:rsid w:val="00261D76"/>
    <w:rsid w:val="002642EE"/>
    <w:rsid w:val="00264F8A"/>
    <w:rsid w:val="0026591C"/>
    <w:rsid w:val="0027436C"/>
    <w:rsid w:val="00275510"/>
    <w:rsid w:val="00280896"/>
    <w:rsid w:val="002818EE"/>
    <w:rsid w:val="0028485C"/>
    <w:rsid w:val="0028665A"/>
    <w:rsid w:val="00287123"/>
    <w:rsid w:val="002920E7"/>
    <w:rsid w:val="002950D0"/>
    <w:rsid w:val="00295940"/>
    <w:rsid w:val="002968CD"/>
    <w:rsid w:val="002A4EF3"/>
    <w:rsid w:val="002A50D5"/>
    <w:rsid w:val="002A590E"/>
    <w:rsid w:val="002A5F98"/>
    <w:rsid w:val="002B096E"/>
    <w:rsid w:val="002B09EE"/>
    <w:rsid w:val="002B1444"/>
    <w:rsid w:val="002C03BF"/>
    <w:rsid w:val="002C3A92"/>
    <w:rsid w:val="002C52C2"/>
    <w:rsid w:val="002C73FC"/>
    <w:rsid w:val="002D1EB5"/>
    <w:rsid w:val="002D56D5"/>
    <w:rsid w:val="002E091E"/>
    <w:rsid w:val="002E1CC5"/>
    <w:rsid w:val="002F015B"/>
    <w:rsid w:val="002F024D"/>
    <w:rsid w:val="002F6308"/>
    <w:rsid w:val="00300011"/>
    <w:rsid w:val="00300563"/>
    <w:rsid w:val="00303341"/>
    <w:rsid w:val="00303AEE"/>
    <w:rsid w:val="00305087"/>
    <w:rsid w:val="003052BC"/>
    <w:rsid w:val="00305AFC"/>
    <w:rsid w:val="0031124F"/>
    <w:rsid w:val="00324C4A"/>
    <w:rsid w:val="00326EFD"/>
    <w:rsid w:val="003379AB"/>
    <w:rsid w:val="00341A20"/>
    <w:rsid w:val="0034298C"/>
    <w:rsid w:val="00350191"/>
    <w:rsid w:val="00351519"/>
    <w:rsid w:val="00351FBD"/>
    <w:rsid w:val="003525A7"/>
    <w:rsid w:val="0035563C"/>
    <w:rsid w:val="00356656"/>
    <w:rsid w:val="003648A8"/>
    <w:rsid w:val="00365A6D"/>
    <w:rsid w:val="0036648E"/>
    <w:rsid w:val="0037202A"/>
    <w:rsid w:val="00372D5D"/>
    <w:rsid w:val="00382358"/>
    <w:rsid w:val="00382400"/>
    <w:rsid w:val="00384222"/>
    <w:rsid w:val="003858D7"/>
    <w:rsid w:val="003869BA"/>
    <w:rsid w:val="0039239E"/>
    <w:rsid w:val="00397641"/>
    <w:rsid w:val="00397E7D"/>
    <w:rsid w:val="003A0370"/>
    <w:rsid w:val="003A305C"/>
    <w:rsid w:val="003A7F3F"/>
    <w:rsid w:val="003B1B22"/>
    <w:rsid w:val="003B2132"/>
    <w:rsid w:val="003B2B33"/>
    <w:rsid w:val="003B2F0C"/>
    <w:rsid w:val="003B5952"/>
    <w:rsid w:val="003B76B0"/>
    <w:rsid w:val="003C0E8D"/>
    <w:rsid w:val="003C1CF2"/>
    <w:rsid w:val="003C4448"/>
    <w:rsid w:val="003D2EAC"/>
    <w:rsid w:val="003D5010"/>
    <w:rsid w:val="003E7096"/>
    <w:rsid w:val="003F2116"/>
    <w:rsid w:val="003F3042"/>
    <w:rsid w:val="003F635E"/>
    <w:rsid w:val="00403A4D"/>
    <w:rsid w:val="00403AA6"/>
    <w:rsid w:val="00410C60"/>
    <w:rsid w:val="00414513"/>
    <w:rsid w:val="00414822"/>
    <w:rsid w:val="0041758E"/>
    <w:rsid w:val="00422E20"/>
    <w:rsid w:val="00423DED"/>
    <w:rsid w:val="00424CBF"/>
    <w:rsid w:val="00424EAE"/>
    <w:rsid w:val="00425783"/>
    <w:rsid w:val="00432E25"/>
    <w:rsid w:val="00433794"/>
    <w:rsid w:val="004400D0"/>
    <w:rsid w:val="004411BC"/>
    <w:rsid w:val="00442340"/>
    <w:rsid w:val="00446EA1"/>
    <w:rsid w:val="0044773C"/>
    <w:rsid w:val="004504B8"/>
    <w:rsid w:val="00457246"/>
    <w:rsid w:val="00464E69"/>
    <w:rsid w:val="00471A94"/>
    <w:rsid w:val="00473FAF"/>
    <w:rsid w:val="004741E8"/>
    <w:rsid w:val="004806BE"/>
    <w:rsid w:val="004865CB"/>
    <w:rsid w:val="00486E69"/>
    <w:rsid w:val="00487577"/>
    <w:rsid w:val="00494386"/>
    <w:rsid w:val="0049539A"/>
    <w:rsid w:val="00495B11"/>
    <w:rsid w:val="00497467"/>
    <w:rsid w:val="004977E7"/>
    <w:rsid w:val="00497D7A"/>
    <w:rsid w:val="00497F7D"/>
    <w:rsid w:val="004A0C53"/>
    <w:rsid w:val="004A0DF2"/>
    <w:rsid w:val="004A206B"/>
    <w:rsid w:val="004A40B9"/>
    <w:rsid w:val="004B1727"/>
    <w:rsid w:val="004B34D5"/>
    <w:rsid w:val="004B60DD"/>
    <w:rsid w:val="004B7A95"/>
    <w:rsid w:val="004C30D4"/>
    <w:rsid w:val="004C47C2"/>
    <w:rsid w:val="004C619D"/>
    <w:rsid w:val="004D3FBD"/>
    <w:rsid w:val="004E24A2"/>
    <w:rsid w:val="004E5F93"/>
    <w:rsid w:val="004E6C8E"/>
    <w:rsid w:val="004E7B28"/>
    <w:rsid w:val="004F0A14"/>
    <w:rsid w:val="004F323A"/>
    <w:rsid w:val="004F79AC"/>
    <w:rsid w:val="005009A2"/>
    <w:rsid w:val="005019BE"/>
    <w:rsid w:val="00505394"/>
    <w:rsid w:val="00512B87"/>
    <w:rsid w:val="00514B1C"/>
    <w:rsid w:val="0051591B"/>
    <w:rsid w:val="00517566"/>
    <w:rsid w:val="0051765B"/>
    <w:rsid w:val="00521ED2"/>
    <w:rsid w:val="00524E6E"/>
    <w:rsid w:val="00525C00"/>
    <w:rsid w:val="00530887"/>
    <w:rsid w:val="00531D73"/>
    <w:rsid w:val="00532155"/>
    <w:rsid w:val="005341DE"/>
    <w:rsid w:val="0053698E"/>
    <w:rsid w:val="00540F6F"/>
    <w:rsid w:val="00541238"/>
    <w:rsid w:val="00542575"/>
    <w:rsid w:val="00542C05"/>
    <w:rsid w:val="00545125"/>
    <w:rsid w:val="005454A0"/>
    <w:rsid w:val="00550A3C"/>
    <w:rsid w:val="005523E4"/>
    <w:rsid w:val="00552496"/>
    <w:rsid w:val="005545D2"/>
    <w:rsid w:val="00557C49"/>
    <w:rsid w:val="00560E25"/>
    <w:rsid w:val="0056166A"/>
    <w:rsid w:val="00563C5C"/>
    <w:rsid w:val="0056698B"/>
    <w:rsid w:val="005726C5"/>
    <w:rsid w:val="00573F67"/>
    <w:rsid w:val="00574AED"/>
    <w:rsid w:val="00582B05"/>
    <w:rsid w:val="00585537"/>
    <w:rsid w:val="00585940"/>
    <w:rsid w:val="00591ADC"/>
    <w:rsid w:val="00591E05"/>
    <w:rsid w:val="005977FF"/>
    <w:rsid w:val="005A17CE"/>
    <w:rsid w:val="005A3CAD"/>
    <w:rsid w:val="005A57E4"/>
    <w:rsid w:val="005A7A09"/>
    <w:rsid w:val="005B11DA"/>
    <w:rsid w:val="005B28D7"/>
    <w:rsid w:val="005B5449"/>
    <w:rsid w:val="005B648E"/>
    <w:rsid w:val="005B6D21"/>
    <w:rsid w:val="005C304C"/>
    <w:rsid w:val="005C3410"/>
    <w:rsid w:val="005C46F1"/>
    <w:rsid w:val="005C4BCB"/>
    <w:rsid w:val="005C4DFE"/>
    <w:rsid w:val="005C6D0F"/>
    <w:rsid w:val="005E04A2"/>
    <w:rsid w:val="005E1EB3"/>
    <w:rsid w:val="005E2470"/>
    <w:rsid w:val="005E2B4C"/>
    <w:rsid w:val="005E4162"/>
    <w:rsid w:val="005E503C"/>
    <w:rsid w:val="005E7747"/>
    <w:rsid w:val="005F55F2"/>
    <w:rsid w:val="005F6726"/>
    <w:rsid w:val="005F7DFB"/>
    <w:rsid w:val="006070B9"/>
    <w:rsid w:val="00612800"/>
    <w:rsid w:val="006140AB"/>
    <w:rsid w:val="0061425D"/>
    <w:rsid w:val="00614AB1"/>
    <w:rsid w:val="006160EA"/>
    <w:rsid w:val="006167A6"/>
    <w:rsid w:val="00616CC4"/>
    <w:rsid w:val="00617761"/>
    <w:rsid w:val="00623F0C"/>
    <w:rsid w:val="00624596"/>
    <w:rsid w:val="0062491A"/>
    <w:rsid w:val="00624C3F"/>
    <w:rsid w:val="0062726D"/>
    <w:rsid w:val="00631CE8"/>
    <w:rsid w:val="00636960"/>
    <w:rsid w:val="006378B8"/>
    <w:rsid w:val="00640D46"/>
    <w:rsid w:val="00642B87"/>
    <w:rsid w:val="00646799"/>
    <w:rsid w:val="0064770A"/>
    <w:rsid w:val="006505F6"/>
    <w:rsid w:val="00651511"/>
    <w:rsid w:val="00652F58"/>
    <w:rsid w:val="00656704"/>
    <w:rsid w:val="00656ADE"/>
    <w:rsid w:val="00657C05"/>
    <w:rsid w:val="00663854"/>
    <w:rsid w:val="006650F1"/>
    <w:rsid w:val="00666999"/>
    <w:rsid w:val="0067022A"/>
    <w:rsid w:val="00672708"/>
    <w:rsid w:val="006762F1"/>
    <w:rsid w:val="006775F8"/>
    <w:rsid w:val="006779C0"/>
    <w:rsid w:val="00687358"/>
    <w:rsid w:val="006879E1"/>
    <w:rsid w:val="00687B3B"/>
    <w:rsid w:val="00690DE9"/>
    <w:rsid w:val="00693657"/>
    <w:rsid w:val="00693A60"/>
    <w:rsid w:val="00694707"/>
    <w:rsid w:val="006950D0"/>
    <w:rsid w:val="00696EA8"/>
    <w:rsid w:val="00697B73"/>
    <w:rsid w:val="006A159A"/>
    <w:rsid w:val="006A17C2"/>
    <w:rsid w:val="006A38A2"/>
    <w:rsid w:val="006A3AD0"/>
    <w:rsid w:val="006A4066"/>
    <w:rsid w:val="006A43C4"/>
    <w:rsid w:val="006A582C"/>
    <w:rsid w:val="006A64A5"/>
    <w:rsid w:val="006A7C9A"/>
    <w:rsid w:val="006C0AB4"/>
    <w:rsid w:val="006C28E0"/>
    <w:rsid w:val="006C36EB"/>
    <w:rsid w:val="006C4727"/>
    <w:rsid w:val="006D0E1A"/>
    <w:rsid w:val="006D49A6"/>
    <w:rsid w:val="006D4E54"/>
    <w:rsid w:val="006E3465"/>
    <w:rsid w:val="006E374E"/>
    <w:rsid w:val="006E6FA2"/>
    <w:rsid w:val="006F03EC"/>
    <w:rsid w:val="006F0C4E"/>
    <w:rsid w:val="006F3642"/>
    <w:rsid w:val="006F46A5"/>
    <w:rsid w:val="006F5FE9"/>
    <w:rsid w:val="007040EF"/>
    <w:rsid w:val="00704D0D"/>
    <w:rsid w:val="00705109"/>
    <w:rsid w:val="007074AA"/>
    <w:rsid w:val="00714335"/>
    <w:rsid w:val="00714F23"/>
    <w:rsid w:val="0071700E"/>
    <w:rsid w:val="00721E60"/>
    <w:rsid w:val="00724207"/>
    <w:rsid w:val="00724A8F"/>
    <w:rsid w:val="00725B55"/>
    <w:rsid w:val="007263FF"/>
    <w:rsid w:val="0072798D"/>
    <w:rsid w:val="007303DA"/>
    <w:rsid w:val="007312B8"/>
    <w:rsid w:val="00734592"/>
    <w:rsid w:val="00736448"/>
    <w:rsid w:val="00737307"/>
    <w:rsid w:val="00751B31"/>
    <w:rsid w:val="00752E09"/>
    <w:rsid w:val="007543CC"/>
    <w:rsid w:val="007552D9"/>
    <w:rsid w:val="007573B9"/>
    <w:rsid w:val="007579DC"/>
    <w:rsid w:val="0076044C"/>
    <w:rsid w:val="00760CF5"/>
    <w:rsid w:val="00764D55"/>
    <w:rsid w:val="00771019"/>
    <w:rsid w:val="00772A21"/>
    <w:rsid w:val="0077417B"/>
    <w:rsid w:val="007745F9"/>
    <w:rsid w:val="00774B54"/>
    <w:rsid w:val="00780A7B"/>
    <w:rsid w:val="00782299"/>
    <w:rsid w:val="00792914"/>
    <w:rsid w:val="00795F2F"/>
    <w:rsid w:val="007A070E"/>
    <w:rsid w:val="007A1528"/>
    <w:rsid w:val="007A2759"/>
    <w:rsid w:val="007A43E8"/>
    <w:rsid w:val="007A4855"/>
    <w:rsid w:val="007A7E06"/>
    <w:rsid w:val="007B07F5"/>
    <w:rsid w:val="007B63AA"/>
    <w:rsid w:val="007B744F"/>
    <w:rsid w:val="007C0BB9"/>
    <w:rsid w:val="007C2B24"/>
    <w:rsid w:val="007C6C5F"/>
    <w:rsid w:val="007C6D01"/>
    <w:rsid w:val="007C7ADA"/>
    <w:rsid w:val="007D3EB3"/>
    <w:rsid w:val="007D4A82"/>
    <w:rsid w:val="007D4F28"/>
    <w:rsid w:val="007D550D"/>
    <w:rsid w:val="007D64C1"/>
    <w:rsid w:val="007D68A5"/>
    <w:rsid w:val="007D6DAF"/>
    <w:rsid w:val="007D770E"/>
    <w:rsid w:val="007E1656"/>
    <w:rsid w:val="007E471C"/>
    <w:rsid w:val="007E5E6B"/>
    <w:rsid w:val="007E6680"/>
    <w:rsid w:val="007F5800"/>
    <w:rsid w:val="007F5932"/>
    <w:rsid w:val="007F6214"/>
    <w:rsid w:val="007F6626"/>
    <w:rsid w:val="008052E3"/>
    <w:rsid w:val="008067F5"/>
    <w:rsid w:val="008102C8"/>
    <w:rsid w:val="00814679"/>
    <w:rsid w:val="0081754C"/>
    <w:rsid w:val="00830D4F"/>
    <w:rsid w:val="00831659"/>
    <w:rsid w:val="00842C9A"/>
    <w:rsid w:val="008534E5"/>
    <w:rsid w:val="00860837"/>
    <w:rsid w:val="0086214E"/>
    <w:rsid w:val="00862617"/>
    <w:rsid w:val="00862CFB"/>
    <w:rsid w:val="00862E55"/>
    <w:rsid w:val="00867A0D"/>
    <w:rsid w:val="0087196B"/>
    <w:rsid w:val="00871B13"/>
    <w:rsid w:val="008744A9"/>
    <w:rsid w:val="0087536A"/>
    <w:rsid w:val="00882F71"/>
    <w:rsid w:val="0088375F"/>
    <w:rsid w:val="00883D12"/>
    <w:rsid w:val="008846B9"/>
    <w:rsid w:val="008850A0"/>
    <w:rsid w:val="00890DA8"/>
    <w:rsid w:val="00893505"/>
    <w:rsid w:val="00893D8B"/>
    <w:rsid w:val="008A116B"/>
    <w:rsid w:val="008A25DE"/>
    <w:rsid w:val="008A28F2"/>
    <w:rsid w:val="008A61E0"/>
    <w:rsid w:val="008A6C91"/>
    <w:rsid w:val="008A7CA0"/>
    <w:rsid w:val="008B432D"/>
    <w:rsid w:val="008C033D"/>
    <w:rsid w:val="008C1893"/>
    <w:rsid w:val="008C2B25"/>
    <w:rsid w:val="008C2BAD"/>
    <w:rsid w:val="008C5467"/>
    <w:rsid w:val="008C58D1"/>
    <w:rsid w:val="008D299A"/>
    <w:rsid w:val="008D481A"/>
    <w:rsid w:val="008D6487"/>
    <w:rsid w:val="008D7086"/>
    <w:rsid w:val="008E06D9"/>
    <w:rsid w:val="008E218F"/>
    <w:rsid w:val="008E30CD"/>
    <w:rsid w:val="008E4331"/>
    <w:rsid w:val="008E6277"/>
    <w:rsid w:val="008E7F32"/>
    <w:rsid w:val="008F4E76"/>
    <w:rsid w:val="008F505F"/>
    <w:rsid w:val="008F5C33"/>
    <w:rsid w:val="00900DF6"/>
    <w:rsid w:val="00903EA4"/>
    <w:rsid w:val="00906478"/>
    <w:rsid w:val="00907FD2"/>
    <w:rsid w:val="009170E9"/>
    <w:rsid w:val="00921345"/>
    <w:rsid w:val="009217AC"/>
    <w:rsid w:val="009237E1"/>
    <w:rsid w:val="00924973"/>
    <w:rsid w:val="00925CF6"/>
    <w:rsid w:val="00927CD2"/>
    <w:rsid w:val="00940B34"/>
    <w:rsid w:val="00940FB9"/>
    <w:rsid w:val="00941A53"/>
    <w:rsid w:val="00942577"/>
    <w:rsid w:val="0094539F"/>
    <w:rsid w:val="00956F46"/>
    <w:rsid w:val="00957C02"/>
    <w:rsid w:val="0097200C"/>
    <w:rsid w:val="00976719"/>
    <w:rsid w:val="00981411"/>
    <w:rsid w:val="009921DA"/>
    <w:rsid w:val="00993A6C"/>
    <w:rsid w:val="009958A1"/>
    <w:rsid w:val="00997309"/>
    <w:rsid w:val="009A0CBA"/>
    <w:rsid w:val="009A21E0"/>
    <w:rsid w:val="009A287C"/>
    <w:rsid w:val="009A33B4"/>
    <w:rsid w:val="009A6E25"/>
    <w:rsid w:val="009A6F36"/>
    <w:rsid w:val="009A73FB"/>
    <w:rsid w:val="009A7631"/>
    <w:rsid w:val="009A7B21"/>
    <w:rsid w:val="009B7557"/>
    <w:rsid w:val="009C0034"/>
    <w:rsid w:val="009C255F"/>
    <w:rsid w:val="009C3C97"/>
    <w:rsid w:val="009C562D"/>
    <w:rsid w:val="009C64BD"/>
    <w:rsid w:val="009C6AC2"/>
    <w:rsid w:val="009D0A15"/>
    <w:rsid w:val="009D19D0"/>
    <w:rsid w:val="009D4992"/>
    <w:rsid w:val="009E0962"/>
    <w:rsid w:val="009E528F"/>
    <w:rsid w:val="009E7660"/>
    <w:rsid w:val="009E7B0C"/>
    <w:rsid w:val="009F192A"/>
    <w:rsid w:val="009F2F39"/>
    <w:rsid w:val="009F3E06"/>
    <w:rsid w:val="009F48CB"/>
    <w:rsid w:val="009F7A88"/>
    <w:rsid w:val="00A055A5"/>
    <w:rsid w:val="00A05CCB"/>
    <w:rsid w:val="00A06160"/>
    <w:rsid w:val="00A0680A"/>
    <w:rsid w:val="00A10E42"/>
    <w:rsid w:val="00A15535"/>
    <w:rsid w:val="00A15C1C"/>
    <w:rsid w:val="00A17469"/>
    <w:rsid w:val="00A20198"/>
    <w:rsid w:val="00A21D9E"/>
    <w:rsid w:val="00A24353"/>
    <w:rsid w:val="00A27B20"/>
    <w:rsid w:val="00A317BA"/>
    <w:rsid w:val="00A36B1B"/>
    <w:rsid w:val="00A424DF"/>
    <w:rsid w:val="00A44D6A"/>
    <w:rsid w:val="00A46417"/>
    <w:rsid w:val="00A47D7C"/>
    <w:rsid w:val="00A50D3F"/>
    <w:rsid w:val="00A51287"/>
    <w:rsid w:val="00A52490"/>
    <w:rsid w:val="00A560E4"/>
    <w:rsid w:val="00A5642B"/>
    <w:rsid w:val="00A571E2"/>
    <w:rsid w:val="00A67995"/>
    <w:rsid w:val="00A77F9D"/>
    <w:rsid w:val="00A8308F"/>
    <w:rsid w:val="00A84596"/>
    <w:rsid w:val="00A84628"/>
    <w:rsid w:val="00A848C6"/>
    <w:rsid w:val="00A8662A"/>
    <w:rsid w:val="00A86943"/>
    <w:rsid w:val="00A93106"/>
    <w:rsid w:val="00A9507E"/>
    <w:rsid w:val="00A95810"/>
    <w:rsid w:val="00A970B9"/>
    <w:rsid w:val="00AA1270"/>
    <w:rsid w:val="00AA294D"/>
    <w:rsid w:val="00AB6ACE"/>
    <w:rsid w:val="00AB709C"/>
    <w:rsid w:val="00AB7792"/>
    <w:rsid w:val="00AC21B7"/>
    <w:rsid w:val="00AC6497"/>
    <w:rsid w:val="00AD036E"/>
    <w:rsid w:val="00AD57B2"/>
    <w:rsid w:val="00AE28F0"/>
    <w:rsid w:val="00AE3E0C"/>
    <w:rsid w:val="00B01828"/>
    <w:rsid w:val="00B070DC"/>
    <w:rsid w:val="00B10026"/>
    <w:rsid w:val="00B14028"/>
    <w:rsid w:val="00B15263"/>
    <w:rsid w:val="00B20353"/>
    <w:rsid w:val="00B20FA4"/>
    <w:rsid w:val="00B21AB7"/>
    <w:rsid w:val="00B222CF"/>
    <w:rsid w:val="00B24231"/>
    <w:rsid w:val="00B2565B"/>
    <w:rsid w:val="00B26B19"/>
    <w:rsid w:val="00B30FF3"/>
    <w:rsid w:val="00B31E20"/>
    <w:rsid w:val="00B329E6"/>
    <w:rsid w:val="00B339E6"/>
    <w:rsid w:val="00B3422D"/>
    <w:rsid w:val="00B3546F"/>
    <w:rsid w:val="00B36076"/>
    <w:rsid w:val="00B42CAF"/>
    <w:rsid w:val="00B4426B"/>
    <w:rsid w:val="00B442EC"/>
    <w:rsid w:val="00B4472F"/>
    <w:rsid w:val="00B44DC3"/>
    <w:rsid w:val="00B45E4B"/>
    <w:rsid w:val="00B5483A"/>
    <w:rsid w:val="00B575A5"/>
    <w:rsid w:val="00B57AB2"/>
    <w:rsid w:val="00B6179A"/>
    <w:rsid w:val="00B67078"/>
    <w:rsid w:val="00B723CF"/>
    <w:rsid w:val="00B72A11"/>
    <w:rsid w:val="00B81D1D"/>
    <w:rsid w:val="00B825B0"/>
    <w:rsid w:val="00B852C7"/>
    <w:rsid w:val="00B85A04"/>
    <w:rsid w:val="00B86500"/>
    <w:rsid w:val="00B8775C"/>
    <w:rsid w:val="00B91B7E"/>
    <w:rsid w:val="00B9307C"/>
    <w:rsid w:val="00B93CC2"/>
    <w:rsid w:val="00BA08C3"/>
    <w:rsid w:val="00BA3BD6"/>
    <w:rsid w:val="00BA7090"/>
    <w:rsid w:val="00BB04EB"/>
    <w:rsid w:val="00BB785F"/>
    <w:rsid w:val="00BC0E82"/>
    <w:rsid w:val="00BC0EE0"/>
    <w:rsid w:val="00BC2721"/>
    <w:rsid w:val="00BC2EED"/>
    <w:rsid w:val="00BD7136"/>
    <w:rsid w:val="00BD7808"/>
    <w:rsid w:val="00BE0A68"/>
    <w:rsid w:val="00BF0651"/>
    <w:rsid w:val="00BF7C4A"/>
    <w:rsid w:val="00C00EC0"/>
    <w:rsid w:val="00C03863"/>
    <w:rsid w:val="00C04CB7"/>
    <w:rsid w:val="00C0585E"/>
    <w:rsid w:val="00C1007F"/>
    <w:rsid w:val="00C107D3"/>
    <w:rsid w:val="00C1185E"/>
    <w:rsid w:val="00C13668"/>
    <w:rsid w:val="00C250C9"/>
    <w:rsid w:val="00C30A26"/>
    <w:rsid w:val="00C30EF9"/>
    <w:rsid w:val="00C34042"/>
    <w:rsid w:val="00C366B1"/>
    <w:rsid w:val="00C42ACD"/>
    <w:rsid w:val="00C44832"/>
    <w:rsid w:val="00C44E69"/>
    <w:rsid w:val="00C46AB1"/>
    <w:rsid w:val="00C47245"/>
    <w:rsid w:val="00C5455A"/>
    <w:rsid w:val="00C54FC6"/>
    <w:rsid w:val="00C57629"/>
    <w:rsid w:val="00C57E4F"/>
    <w:rsid w:val="00C612D3"/>
    <w:rsid w:val="00C61D9E"/>
    <w:rsid w:val="00C6455E"/>
    <w:rsid w:val="00C81712"/>
    <w:rsid w:val="00C81C21"/>
    <w:rsid w:val="00C82C81"/>
    <w:rsid w:val="00C842D7"/>
    <w:rsid w:val="00C863F0"/>
    <w:rsid w:val="00C92FE1"/>
    <w:rsid w:val="00C9471D"/>
    <w:rsid w:val="00CA2C7E"/>
    <w:rsid w:val="00CA2E39"/>
    <w:rsid w:val="00CA3ABF"/>
    <w:rsid w:val="00CA3C60"/>
    <w:rsid w:val="00CA57D9"/>
    <w:rsid w:val="00CA5894"/>
    <w:rsid w:val="00CA6E81"/>
    <w:rsid w:val="00CB03B3"/>
    <w:rsid w:val="00CB4CF7"/>
    <w:rsid w:val="00CC2C82"/>
    <w:rsid w:val="00CC4B0B"/>
    <w:rsid w:val="00CC512D"/>
    <w:rsid w:val="00CD3113"/>
    <w:rsid w:val="00CE4584"/>
    <w:rsid w:val="00CF0773"/>
    <w:rsid w:val="00CF2D76"/>
    <w:rsid w:val="00CF301C"/>
    <w:rsid w:val="00CF4496"/>
    <w:rsid w:val="00CF5D17"/>
    <w:rsid w:val="00CF5E4D"/>
    <w:rsid w:val="00CF7968"/>
    <w:rsid w:val="00CF7C22"/>
    <w:rsid w:val="00D006E1"/>
    <w:rsid w:val="00D037C2"/>
    <w:rsid w:val="00D07561"/>
    <w:rsid w:val="00D076DC"/>
    <w:rsid w:val="00D077BC"/>
    <w:rsid w:val="00D1006C"/>
    <w:rsid w:val="00D114C3"/>
    <w:rsid w:val="00D12CB9"/>
    <w:rsid w:val="00D12F56"/>
    <w:rsid w:val="00D22D7D"/>
    <w:rsid w:val="00D245ED"/>
    <w:rsid w:val="00D250AF"/>
    <w:rsid w:val="00D2761B"/>
    <w:rsid w:val="00D30BAF"/>
    <w:rsid w:val="00D317A0"/>
    <w:rsid w:val="00D3472C"/>
    <w:rsid w:val="00D35A97"/>
    <w:rsid w:val="00D43EE5"/>
    <w:rsid w:val="00D4450B"/>
    <w:rsid w:val="00D46C68"/>
    <w:rsid w:val="00D54D56"/>
    <w:rsid w:val="00D55BDD"/>
    <w:rsid w:val="00D57FE8"/>
    <w:rsid w:val="00D607C5"/>
    <w:rsid w:val="00D60C2E"/>
    <w:rsid w:val="00D65C4B"/>
    <w:rsid w:val="00D70A59"/>
    <w:rsid w:val="00D74F60"/>
    <w:rsid w:val="00D75939"/>
    <w:rsid w:val="00D77E2A"/>
    <w:rsid w:val="00D868F7"/>
    <w:rsid w:val="00D9002E"/>
    <w:rsid w:val="00D93790"/>
    <w:rsid w:val="00D9472F"/>
    <w:rsid w:val="00D94F2F"/>
    <w:rsid w:val="00D97042"/>
    <w:rsid w:val="00DA5791"/>
    <w:rsid w:val="00DB28E9"/>
    <w:rsid w:val="00DB554F"/>
    <w:rsid w:val="00DC04D8"/>
    <w:rsid w:val="00DC2AF3"/>
    <w:rsid w:val="00DC7940"/>
    <w:rsid w:val="00DD0BA3"/>
    <w:rsid w:val="00DD46EF"/>
    <w:rsid w:val="00DD5E0F"/>
    <w:rsid w:val="00DD73C4"/>
    <w:rsid w:val="00DE0272"/>
    <w:rsid w:val="00DE15A8"/>
    <w:rsid w:val="00DE2DA5"/>
    <w:rsid w:val="00DE3CDB"/>
    <w:rsid w:val="00DE3EE9"/>
    <w:rsid w:val="00DE5DBB"/>
    <w:rsid w:val="00DE6975"/>
    <w:rsid w:val="00DF1FE7"/>
    <w:rsid w:val="00DF49A7"/>
    <w:rsid w:val="00DF5E70"/>
    <w:rsid w:val="00DF5F83"/>
    <w:rsid w:val="00E000D9"/>
    <w:rsid w:val="00E02DAB"/>
    <w:rsid w:val="00E04C42"/>
    <w:rsid w:val="00E05683"/>
    <w:rsid w:val="00E05FAB"/>
    <w:rsid w:val="00E07BD9"/>
    <w:rsid w:val="00E11BB0"/>
    <w:rsid w:val="00E12521"/>
    <w:rsid w:val="00E15F68"/>
    <w:rsid w:val="00E2177D"/>
    <w:rsid w:val="00E229B4"/>
    <w:rsid w:val="00E24875"/>
    <w:rsid w:val="00E25B67"/>
    <w:rsid w:val="00E30FEA"/>
    <w:rsid w:val="00E318B8"/>
    <w:rsid w:val="00E34619"/>
    <w:rsid w:val="00E349CA"/>
    <w:rsid w:val="00E34EB9"/>
    <w:rsid w:val="00E44F77"/>
    <w:rsid w:val="00E511A7"/>
    <w:rsid w:val="00E5336D"/>
    <w:rsid w:val="00E61446"/>
    <w:rsid w:val="00E64EBA"/>
    <w:rsid w:val="00E66264"/>
    <w:rsid w:val="00E662B1"/>
    <w:rsid w:val="00E66D9F"/>
    <w:rsid w:val="00E70BC4"/>
    <w:rsid w:val="00E7228D"/>
    <w:rsid w:val="00E75BFF"/>
    <w:rsid w:val="00E77793"/>
    <w:rsid w:val="00E804F9"/>
    <w:rsid w:val="00E80975"/>
    <w:rsid w:val="00E95B43"/>
    <w:rsid w:val="00EA3629"/>
    <w:rsid w:val="00EA6FF4"/>
    <w:rsid w:val="00EB0F80"/>
    <w:rsid w:val="00EB4A67"/>
    <w:rsid w:val="00EB73C0"/>
    <w:rsid w:val="00EB7A49"/>
    <w:rsid w:val="00EC37F3"/>
    <w:rsid w:val="00ED14D8"/>
    <w:rsid w:val="00ED3C3E"/>
    <w:rsid w:val="00ED505B"/>
    <w:rsid w:val="00EE07C5"/>
    <w:rsid w:val="00EE1D6D"/>
    <w:rsid w:val="00EE4D92"/>
    <w:rsid w:val="00EE6753"/>
    <w:rsid w:val="00EF1AF5"/>
    <w:rsid w:val="00EF3EF7"/>
    <w:rsid w:val="00F01220"/>
    <w:rsid w:val="00F015E9"/>
    <w:rsid w:val="00F022B4"/>
    <w:rsid w:val="00F05B44"/>
    <w:rsid w:val="00F12F60"/>
    <w:rsid w:val="00F15C4F"/>
    <w:rsid w:val="00F169F0"/>
    <w:rsid w:val="00F17E50"/>
    <w:rsid w:val="00F20384"/>
    <w:rsid w:val="00F21934"/>
    <w:rsid w:val="00F31301"/>
    <w:rsid w:val="00F32635"/>
    <w:rsid w:val="00F34682"/>
    <w:rsid w:val="00F4153D"/>
    <w:rsid w:val="00F41D21"/>
    <w:rsid w:val="00F43680"/>
    <w:rsid w:val="00F45225"/>
    <w:rsid w:val="00F45DB3"/>
    <w:rsid w:val="00F503F7"/>
    <w:rsid w:val="00F525C2"/>
    <w:rsid w:val="00F6007D"/>
    <w:rsid w:val="00F60925"/>
    <w:rsid w:val="00F609F9"/>
    <w:rsid w:val="00F61620"/>
    <w:rsid w:val="00F61A18"/>
    <w:rsid w:val="00F6271E"/>
    <w:rsid w:val="00F64F57"/>
    <w:rsid w:val="00F653B2"/>
    <w:rsid w:val="00F669C9"/>
    <w:rsid w:val="00F66F00"/>
    <w:rsid w:val="00F714BD"/>
    <w:rsid w:val="00F71631"/>
    <w:rsid w:val="00F71A80"/>
    <w:rsid w:val="00F72E60"/>
    <w:rsid w:val="00F74BFE"/>
    <w:rsid w:val="00F76959"/>
    <w:rsid w:val="00F807F2"/>
    <w:rsid w:val="00F80890"/>
    <w:rsid w:val="00F825C5"/>
    <w:rsid w:val="00F82D67"/>
    <w:rsid w:val="00F869AA"/>
    <w:rsid w:val="00F869DC"/>
    <w:rsid w:val="00F9199E"/>
    <w:rsid w:val="00F924D3"/>
    <w:rsid w:val="00F92FBA"/>
    <w:rsid w:val="00F931E6"/>
    <w:rsid w:val="00F93561"/>
    <w:rsid w:val="00F93CF4"/>
    <w:rsid w:val="00F96055"/>
    <w:rsid w:val="00FA1706"/>
    <w:rsid w:val="00FA4BEC"/>
    <w:rsid w:val="00FB15C0"/>
    <w:rsid w:val="00FC040D"/>
    <w:rsid w:val="00FC084D"/>
    <w:rsid w:val="00FC20B2"/>
    <w:rsid w:val="00FC62A1"/>
    <w:rsid w:val="00FD1A2E"/>
    <w:rsid w:val="00FD34A4"/>
    <w:rsid w:val="00FD6922"/>
    <w:rsid w:val="00FF2174"/>
    <w:rsid w:val="00FF267A"/>
    <w:rsid w:val="00FF5825"/>
  </w:rsids>
  <w:docVars>
    <w:docVar w:name="APWAFVersion" w:val="5.0"/>
  </w:docVars>
  <m:mathPr>
    <m:mathFont m:val="Cambria Math"/>
  </m:mathPr>
  <w:themeFontLang w:val="en-US" w:bidi="as-IN"/>
  <w:clrSchemeMapping w:bg1="light1" w:t1="dark1" w:bg2="light2" w:t2="dark2" w:accent1="accent1" w:accent2="accent2" w:accent3="accent3" w:accent4="accent4" w:accent5="accent5" w:accent6="accent6" w:hyperlink="hyperlink" w:followedHyperlink="followedHyperlink"/>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W_Heading 1"/>
    <w:next w:val="Normal"/>
    <w:link w:val="DefaultParagraphFont"/>
    <w:uiPriority w:val="9"/>
    <w:qFormat/>
    <w:rsid w:val="00E12521"/>
    <w:pPr>
      <w:spacing w:after="360" w:line="276" w:lineRule="auto"/>
      <w:outlineLvl w:val="0"/>
    </w:pPr>
    <w:rPr>
      <w:rFonts w:ascii="Arial" w:hAnsi="Arial" w:cs="Arial"/>
      <w:b/>
      <w:bCs/>
      <w:color w:val="0F172B"/>
      <w:spacing w:val="-8"/>
      <w:sz w:val="40"/>
      <w:szCs w:val="40"/>
      <w:lang w:val="fi-FI"/>
    </w:rPr>
  </w:style>
  <w:style w:type="paragraph" w:styleId="Heading2">
    <w:name w:val="heading 2"/>
    <w:aliases w:val="W_HEADING2_"/>
    <w:basedOn w:val="WNormal"/>
    <w:next w:val="Normal"/>
    <w:link w:val="DefaultParagraphFont"/>
    <w:uiPriority w:val="9"/>
    <w:unhideWhenUsed/>
    <w:qFormat/>
    <w:rsid w:val="002920E7"/>
    <w:pPr>
      <w:spacing w:after="20"/>
      <w:outlineLvl w:val="1"/>
    </w:pPr>
    <w:rPr>
      <w:b/>
      <w:bCs/>
      <w:caps/>
      <w:color w:val="0F172B"/>
      <w:spacing w:val="0"/>
      <w:sz w:val="20"/>
      <w:szCs w:val="20"/>
    </w:rPr>
  </w:style>
  <w:style w:type="paragraph" w:styleId="Heading3">
    <w:name w:val="heading 3"/>
    <w:next w:val="Normal"/>
    <w:link w:val="Heading3Char"/>
    <w:uiPriority w:val="9"/>
    <w:unhideWhenUsed/>
    <w:qFormat/>
    <w:rsid w:val="00EC37F3"/>
    <w:pPr>
      <w:spacing w:after="20" w:line="276" w:lineRule="auto"/>
      <w:outlineLvl w:val="2"/>
    </w:pPr>
    <w:rPr>
      <w:rFonts w:ascii="Arial" w:hAnsi="Arial" w:cs="Arial"/>
      <w:b/>
      <w:bCs/>
      <w:color w:val="0F172B"/>
      <w:spacing w:val="4"/>
      <w:sz w:val="17"/>
      <w:szCs w:val="17"/>
      <w:lang w:val="fi-FI"/>
    </w:rPr>
  </w:style>
  <w:style w:type="paragraph" w:styleId="Heading4">
    <w:name w:val="heading 4"/>
    <w:next w:val="Normal"/>
    <w:link w:val="Heading4Char"/>
    <w:uiPriority w:val="9"/>
    <w:unhideWhenUsed/>
    <w:qFormat/>
    <w:rsid w:val="00A15535"/>
    <w:pPr>
      <w:spacing w:after="20" w:line="276" w:lineRule="auto"/>
      <w:outlineLvl w:val="3"/>
    </w:pPr>
    <w:rPr>
      <w:rFonts w:ascii="Arial" w:eastAsia="Calibri" w:hAnsi="Arial" w:cs="Arial"/>
      <w:b/>
      <w:bCs/>
      <w:color w:val="0F172B"/>
      <w:spacing w:val="4"/>
      <w:sz w:val="16"/>
      <w:szCs w:val="16"/>
      <w:lang w:val="fi-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Normal">
    <w:name w:val="W_Normal"/>
    <w:qFormat/>
    <w:rsid w:val="00652F58"/>
    <w:pPr>
      <w:spacing w:after="240" w:line="276" w:lineRule="auto"/>
    </w:pPr>
    <w:rPr>
      <w:rFonts w:ascii="Arial" w:hAnsi="Arial" w:cs="Arial"/>
      <w:color w:val="111111"/>
      <w:spacing w:val="2"/>
      <w:sz w:val="17"/>
      <w:szCs w:val="16"/>
      <w:lang w:val="fi-FI"/>
    </w:rPr>
  </w:style>
  <w:style w:type="character" w:customStyle="1" w:styleId="IntenseQuoteChar">
    <w:name w:val="Intense Quote Char"/>
    <w:basedOn w:val="DefaultParagraphFont"/>
    <w:link w:val="IntenseQuote"/>
    <w:uiPriority w:val="30"/>
    <w:rsid w:val="009C562D"/>
    <w:rPr>
      <w:rFonts w:ascii="Arial" w:hAnsi="Arial" w:cs="Arial"/>
      <w:b/>
      <w:bCs/>
      <w:color w:val="0F172B"/>
      <w:spacing w:val="-8"/>
      <w:sz w:val="40"/>
      <w:szCs w:val="40"/>
      <w:lang w:val="fi-FI"/>
    </w:rPr>
  </w:style>
  <w:style w:type="paragraph" w:styleId="IntenseQuote">
    <w:name w:val="Intense Quote"/>
    <w:basedOn w:val="WNormal"/>
    <w:next w:val="Normal"/>
    <w:link w:val="IntenseQuoteChar"/>
    <w:uiPriority w:val="30"/>
    <w:qFormat/>
    <w:rsid w:val="009C562D"/>
    <w:pPr>
      <w:spacing w:after="360"/>
    </w:pPr>
    <w:rPr>
      <w:b/>
      <w:bCs/>
      <w:color w:val="0F172B"/>
      <w:spacing w:val="-8"/>
      <w:sz w:val="40"/>
      <w:szCs w:val="40"/>
    </w:rPr>
  </w:style>
  <w:style w:type="paragraph" w:customStyle="1" w:styleId="WHeadingException2">
    <w:name w:val="W_Heading_Exception2"/>
    <w:qFormat/>
    <w:rsid w:val="000A23BD"/>
    <w:pPr>
      <w:spacing w:after="20" w:line="276" w:lineRule="auto"/>
    </w:pPr>
    <w:rPr>
      <w:rFonts w:ascii="Arial" w:hAnsi="Arial" w:cs="Arial"/>
      <w:b/>
      <w:bCs/>
      <w:caps/>
      <w:color w:val="0F172B"/>
      <w:sz w:val="20"/>
      <w:szCs w:val="20"/>
      <w:lang w:val="en-GB"/>
    </w:rPr>
  </w:style>
  <w:style w:type="paragraph" w:customStyle="1" w:styleId="Wnormal0">
    <w:name w:val="W_normal"/>
    <w:link w:val="WnormalChar"/>
    <w:uiPriority w:val="3"/>
    <w:qFormat/>
    <w:rsid w:val="004F6AFD"/>
    <w:pPr>
      <w:spacing w:after="240" w:line="276" w:lineRule="auto"/>
    </w:pPr>
    <w:rPr>
      <w:rFonts w:ascii="Arial" w:hAnsi="Arial" w:cs="Arial"/>
      <w:color w:val="111111"/>
      <w:spacing w:val="2"/>
      <w:sz w:val="17"/>
      <w:szCs w:val="17"/>
      <w:lang w:val="en-GB"/>
    </w:rPr>
  </w:style>
  <w:style w:type="character" w:customStyle="1" w:styleId="WnormalChar">
    <w:name w:val="W_normal Char"/>
    <w:basedOn w:val="DefaultParagraphFont"/>
    <w:link w:val="Wnormal0"/>
    <w:uiPriority w:val="3"/>
    <w:locked/>
    <w:rsid w:val="00063888"/>
    <w:rPr>
      <w:rFonts w:ascii="Arial" w:hAnsi="Arial" w:cs="Arial"/>
      <w:color w:val="111111"/>
      <w:spacing w:val="2"/>
      <w:sz w:val="17"/>
      <w:szCs w:val="17"/>
      <w:lang w:val="en-GB"/>
    </w:rPr>
  </w:style>
  <w:style w:type="paragraph" w:styleId="Footer">
    <w:name w:val="footer"/>
    <w:basedOn w:val="Normal"/>
    <w:link w:val="FooterChar"/>
    <w:uiPriority w:val="99"/>
    <w:unhideWhenUsed/>
    <w:rsid w:val="00EA26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2678"/>
  </w:style>
  <w:style w:type="paragraph" w:styleId="Header">
    <w:name w:val="header"/>
    <w:basedOn w:val="Normal"/>
    <w:link w:val="HeaderChar"/>
    <w:uiPriority w:val="99"/>
    <w:unhideWhenUsed/>
    <w:rsid w:val="00EA26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2678"/>
  </w:style>
  <w:style w:type="paragraph" w:customStyle="1" w:styleId="WHeading20">
    <w:name w:val="W_Heading2"/>
    <w:qFormat/>
    <w:rsid w:val="00CA2C7E"/>
    <w:pPr>
      <w:spacing w:after="20" w:line="276" w:lineRule="auto"/>
    </w:pPr>
    <w:rPr>
      <w:rFonts w:ascii="Arial" w:hAnsi="Arial" w:cs="Arial"/>
      <w:b/>
      <w:caps/>
      <w:color w:val="0F172B"/>
      <w:sz w:val="20"/>
      <w:szCs w:val="16"/>
      <w:lang w:val="fi-FI"/>
    </w:rPr>
  </w:style>
  <w:style w:type="paragraph" w:customStyle="1" w:styleId="WHeadingException1">
    <w:name w:val="W_Heading_Exception1"/>
    <w:qFormat/>
    <w:rsid w:val="004A69D9"/>
    <w:pPr>
      <w:spacing w:after="20" w:line="276" w:lineRule="auto"/>
    </w:pPr>
    <w:rPr>
      <w:rFonts w:ascii="Arial" w:hAnsi="Arial" w:cs="Arial"/>
      <w:b/>
      <w:bCs/>
      <w:color w:val="0F172B"/>
      <w:spacing w:val="4"/>
      <w:sz w:val="17"/>
      <w:szCs w:val="17"/>
      <w:lang w:val="fi-FI"/>
    </w:rPr>
  </w:style>
  <w:style w:type="paragraph" w:customStyle="1" w:styleId="WHeading4">
    <w:name w:val="W_Heading_4"/>
    <w:qFormat/>
    <w:rsid w:val="00640B58"/>
    <w:pPr>
      <w:spacing w:before="80" w:after="20" w:line="276" w:lineRule="auto"/>
    </w:pPr>
    <w:rPr>
      <w:rFonts w:ascii="Arial" w:hAnsi="Arial" w:cs="Arial"/>
      <w:b/>
      <w:bCs/>
      <w:color w:val="0F172B"/>
      <w:spacing w:val="4"/>
      <w:sz w:val="16"/>
      <w:szCs w:val="17"/>
      <w:lang w:val="fi-FI"/>
    </w:rPr>
  </w:style>
  <w:style w:type="paragraph" w:customStyle="1" w:styleId="WHeadingException3">
    <w:name w:val="W_Heading_Exception3"/>
    <w:basedOn w:val="WHeading4"/>
    <w:qFormat/>
    <w:rsid w:val="007543CC"/>
  </w:style>
  <w:style w:type="paragraph" w:customStyle="1" w:styleId="WHeading3">
    <w:name w:val="W_Heading3"/>
    <w:qFormat/>
    <w:rsid w:val="00430101"/>
    <w:pPr>
      <w:spacing w:after="20" w:line="276" w:lineRule="auto"/>
    </w:pPr>
    <w:rPr>
      <w:rFonts w:ascii="Arial" w:hAnsi="Arial" w:cs="Arial"/>
      <w:b/>
      <w:bCs/>
      <w:color w:val="0F172B"/>
      <w:spacing w:val="4"/>
      <w:sz w:val="17"/>
      <w:szCs w:val="17"/>
      <w:lang w:val="fi-FI"/>
    </w:rPr>
  </w:style>
  <w:style w:type="character" w:customStyle="1" w:styleId="SubtitleChar">
    <w:name w:val="Subtitle Char"/>
    <w:basedOn w:val="DefaultParagraphFont"/>
    <w:link w:val="Subtitle"/>
    <w:uiPriority w:val="11"/>
    <w:rsid w:val="00AC110D"/>
    <w:rPr>
      <w:rFonts w:ascii="Arial" w:hAnsi="Arial" w:cs="Arial"/>
      <w:b/>
      <w:color w:val="FF7321"/>
      <w:spacing w:val="4"/>
      <w:sz w:val="17"/>
      <w:szCs w:val="17"/>
      <w:lang w:val="fi-FI"/>
    </w:rPr>
  </w:style>
  <w:style w:type="paragraph" w:styleId="Subtitle">
    <w:name w:val="Subtitle"/>
    <w:next w:val="Normal"/>
    <w:link w:val="SubtitleChar"/>
    <w:uiPriority w:val="11"/>
    <w:qFormat/>
    <w:rsid w:val="00AC110D"/>
    <w:pPr>
      <w:spacing w:after="20"/>
    </w:pPr>
    <w:rPr>
      <w:rFonts w:ascii="Arial" w:hAnsi="Arial" w:cs="Arial"/>
      <w:b/>
      <w:color w:val="FF7321"/>
      <w:spacing w:val="4"/>
      <w:sz w:val="17"/>
      <w:szCs w:val="17"/>
      <w:lang w:val="fi-FI"/>
    </w:rPr>
  </w:style>
  <w:style w:type="character" w:styleId="BookTitle">
    <w:name w:val="Book Title"/>
    <w:uiPriority w:val="33"/>
    <w:qFormat/>
    <w:rsid w:val="008A6CA5"/>
    <w:rPr>
      <w:rFonts w:ascii="Arial" w:hAnsi="Arial"/>
      <w:b/>
      <w:bCs/>
      <w:color w:val="FF7321"/>
      <w:spacing w:val="0"/>
      <w:sz w:val="16"/>
      <w:szCs w:val="16"/>
    </w:rPr>
  </w:style>
  <w:style w:type="table" w:styleId="TableGrid">
    <w:name w:val="Table Grid"/>
    <w:basedOn w:val="TableNormal"/>
    <w:uiPriority w:val="39"/>
    <w:rsid w:val="006C47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qFormat/>
    <w:rsid w:val="00531D73"/>
    <w:pPr>
      <w:suppressAutoHyphens/>
      <w:spacing w:after="240" w:line="276" w:lineRule="auto"/>
    </w:pPr>
    <w:rPr>
      <w:rFonts w:ascii="Arial" w:hAnsi="Arial" w:cs="Arial"/>
      <w:spacing w:val="2"/>
      <w:sz w:val="17"/>
      <w:szCs w:val="17"/>
      <w:lang w:val="fi-FI"/>
    </w:rPr>
  </w:style>
  <w:style w:type="character" w:customStyle="1" w:styleId="Heading3Char">
    <w:name w:val="Heading 3 Char"/>
    <w:basedOn w:val="DefaultParagraphFont"/>
    <w:link w:val="Heading3"/>
    <w:uiPriority w:val="9"/>
    <w:rsid w:val="00EC37F3"/>
    <w:rPr>
      <w:rFonts w:ascii="Arial" w:hAnsi="Arial" w:cs="Arial"/>
      <w:b/>
      <w:bCs/>
      <w:color w:val="0F172B"/>
      <w:spacing w:val="4"/>
      <w:sz w:val="17"/>
      <w:szCs w:val="17"/>
      <w:lang w:val="fi-FI"/>
    </w:rPr>
  </w:style>
  <w:style w:type="character" w:styleId="Emphasis">
    <w:name w:val="Emphasis"/>
    <w:uiPriority w:val="20"/>
    <w:qFormat/>
    <w:rsid w:val="00A04AB5"/>
    <w:rPr>
      <w:rFonts w:ascii="Arial" w:hAnsi="Arial" w:cs="Arial"/>
      <w:spacing w:val="2"/>
      <w:sz w:val="17"/>
      <w:szCs w:val="17"/>
      <w:lang w:val="fi-FI"/>
    </w:rPr>
  </w:style>
  <w:style w:type="character" w:styleId="Strong">
    <w:name w:val="Strong"/>
    <w:basedOn w:val="Emphasis"/>
    <w:uiPriority w:val="22"/>
    <w:qFormat/>
    <w:rsid w:val="00CE3CF6"/>
    <w:rPr>
      <w:b/>
      <w:bCs/>
      <w:color w:val="FF7321"/>
      <w:spacing w:val="0"/>
      <w:sz w:val="16"/>
      <w:szCs w:val="16"/>
    </w:rPr>
  </w:style>
  <w:style w:type="character" w:customStyle="1" w:styleId="Heading4Char">
    <w:name w:val="Heading 4 Char"/>
    <w:basedOn w:val="DefaultParagraphFont"/>
    <w:link w:val="Heading4"/>
    <w:uiPriority w:val="9"/>
    <w:rsid w:val="00A15535"/>
    <w:rPr>
      <w:rFonts w:ascii="Arial" w:eastAsia="Calibri" w:hAnsi="Arial" w:cs="Arial"/>
      <w:b/>
      <w:bCs/>
      <w:color w:val="0F172B"/>
      <w:spacing w:val="4"/>
      <w:sz w:val="16"/>
      <w:szCs w:val="16"/>
      <w:lang w:val="fi-FI"/>
    </w:rPr>
  </w:style>
  <w:style w:type="character" w:styleId="Hyperlink">
    <w:name w:val="Hyperlink"/>
    <w:basedOn w:val="DefaultParagraphFont"/>
    <w:uiPriority w:val="99"/>
    <w:unhideWhenUsed/>
    <w:rsid w:val="00DE39BD"/>
    <w:rPr>
      <w:color w:val="0563C1"/>
      <w:u w:val="single"/>
    </w:rPr>
  </w:style>
  <w:style w:type="paragraph" w:customStyle="1" w:styleId="WChartText">
    <w:name w:val="W_Chart_Text"/>
    <w:qFormat/>
    <w:rsid w:val="008C033D"/>
    <w:rPr>
      <w:rFonts w:ascii="Arial" w:eastAsia="Calibri" w:hAnsi="Arial" w:cs="Arial"/>
      <w:color w:val="111111"/>
      <w:sz w:val="14"/>
      <w:szCs w:val="16"/>
      <w:lang w:val="fi-FI"/>
    </w:rPr>
  </w:style>
  <w:style w:type="paragraph" w:customStyle="1" w:styleId="Heading10">
    <w:name w:val="Heading 10"/>
    <w:next w:val="Normal"/>
    <w:link w:val="Heading10Char"/>
    <w:qFormat/>
    <w:rsid w:val="002642EE"/>
    <w:pPr>
      <w:keepNext/>
      <w:keepLines/>
      <w:spacing w:after="360" w:line="276" w:lineRule="auto"/>
    </w:pPr>
    <w:rPr>
      <w:rFonts w:ascii="Arial" w:hAnsi="Arial" w:cs="Arial"/>
      <w:b/>
      <w:color w:val="0E172B"/>
      <w:sz w:val="36"/>
      <w:szCs w:val="17"/>
    </w:rPr>
  </w:style>
  <w:style w:type="character" w:customStyle="1" w:styleId="Heading10Char">
    <w:name w:val="Heading 10 Char"/>
    <w:basedOn w:val="DefaultParagraphFont"/>
    <w:link w:val="Heading10"/>
    <w:locked/>
    <w:rsid w:val="002642EE"/>
    <w:rPr>
      <w:rFonts w:ascii="Arial" w:hAnsi="Arial" w:cs="Arial"/>
      <w:b/>
      <w:color w:val="0E172B"/>
      <w:sz w:val="36"/>
      <w:szCs w:val="17"/>
    </w:rPr>
  </w:style>
  <w:style w:type="paragraph" w:customStyle="1" w:styleId="Bodytext2">
    <w:name w:val="Bodytext 2"/>
    <w:link w:val="Bodytext2Char"/>
    <w:qFormat/>
    <w:rsid w:val="002642EE"/>
    <w:pPr>
      <w:suppressAutoHyphens/>
      <w:spacing w:before="48" w:after="0" w:line="276" w:lineRule="auto"/>
    </w:pPr>
    <w:rPr>
      <w:rFonts w:ascii="Arial" w:hAnsi="Arial" w:cs="Arial"/>
      <w:color w:val="111111"/>
      <w:sz w:val="15"/>
      <w:szCs w:val="17"/>
    </w:rPr>
  </w:style>
  <w:style w:type="character" w:customStyle="1" w:styleId="Bodytext2Char">
    <w:name w:val="Bodytext 2 Char"/>
    <w:basedOn w:val="DefaultParagraphFont"/>
    <w:link w:val="Bodytext2"/>
    <w:locked/>
    <w:rsid w:val="002642EE"/>
    <w:rPr>
      <w:rFonts w:ascii="Arial" w:hAnsi="Arial" w:cs="Arial"/>
      <w:color w:val="111111"/>
      <w:sz w:val="15"/>
      <w:szCs w:val="17"/>
    </w:rPr>
  </w:style>
  <w:style w:type="paragraph" w:customStyle="1" w:styleId="Heading13">
    <w:name w:val="Heading 13"/>
    <w:next w:val="Normal"/>
    <w:link w:val="Heading13Char"/>
    <w:qFormat/>
    <w:rsid w:val="002642EE"/>
    <w:pPr>
      <w:suppressAutoHyphens/>
      <w:spacing w:before="48" w:after="0" w:line="276" w:lineRule="auto"/>
    </w:pPr>
    <w:rPr>
      <w:rFonts w:ascii="Arial" w:hAnsi="Arial" w:cs="Arial"/>
      <w:b/>
      <w:color w:val="000000"/>
      <w:sz w:val="15"/>
    </w:rPr>
  </w:style>
  <w:style w:type="character" w:customStyle="1" w:styleId="Heading13Char">
    <w:name w:val="Heading 13 Char"/>
    <w:basedOn w:val="DefaultParagraphFont"/>
    <w:link w:val="Heading13"/>
    <w:locked/>
    <w:rsid w:val="002642EE"/>
    <w:rPr>
      <w:rFonts w:ascii="Arial" w:hAnsi="Arial" w:cs="Arial"/>
      <w:b/>
      <w:color w:val="000000"/>
      <w:sz w:val="15"/>
    </w:rPr>
  </w:style>
  <w:style w:type="table" w:customStyle="1" w:styleId="TableGrid0">
    <w:name w:val="TableGrid"/>
    <w:rsid w:val="00514B1C"/>
    <w:pPr>
      <w:spacing w:after="0" w:line="240" w:lineRule="auto"/>
    </w:pPr>
    <w:rPr>
      <w:rFonts w:eastAsiaTheme="minorEastAsia" w:cstheme="minorHAnsi"/>
      <w:lang w:val="fi-FI" w:eastAsia="fi-FI"/>
    </w:rPr>
    <w:tblPr>
      <w:tblCellMar>
        <w:top w:w="0" w:type="dxa"/>
        <w:left w:w="0" w:type="dxa"/>
        <w:bottom w:w="0" w:type="dxa"/>
        <w:right w:w="0" w:type="dxa"/>
      </w:tblCellMar>
    </w:tblPr>
  </w:style>
  <w:style w:type="table" w:customStyle="1" w:styleId="CDMRange1">
    <w:name w:val="CDM Range 1"/>
    <w:basedOn w:val="TableNormal"/>
    <w:next w:val="TableNormal"/>
    <w:semiHidden/>
    <w:pPr>
      <w:spacing w:after="0" w:line="240" w:lineRule="auto"/>
    </w:pPr>
    <w:rPr>
      <w:rFonts w:ascii="Times New Roman" w:eastAsia="Times New Roman" w:hAnsi="Times New Roman" w:cs="Times New Roman"/>
      <w:sz w:val="20"/>
      <w:szCs w:val="20"/>
    </w:rPr>
    <w:tblPr/>
  </w:style>
  <w:style w:type="table" w:customStyle="1" w:styleId="CDMRange2">
    <w:name w:val="CDM Range 2"/>
    <w:basedOn w:val="TableNormal"/>
    <w:next w:val="TableNormal"/>
    <w:semiHidden/>
    <w:pPr>
      <w:spacing w:after="0" w:line="240" w:lineRule="auto"/>
    </w:pPr>
    <w:rPr>
      <w:rFonts w:ascii="Times New Roman" w:eastAsia="Times New Roman" w:hAnsi="Times New Roman" w:cs="Times New Roman"/>
      <w:sz w:val="20"/>
      <w:szCs w:val="20"/>
    </w:rPr>
    <w:tblPr/>
  </w:style>
  <w:style w:type="paragraph" w:customStyle="1" w:styleId="Heading11">
    <w:name w:val="Heading 11"/>
    <w:next w:val="Normal"/>
    <w:link w:val="Heading11Char"/>
    <w:qFormat/>
    <w:rsid w:val="002642EE"/>
    <w:pPr>
      <w:spacing w:after="220" w:line="276" w:lineRule="auto"/>
    </w:pPr>
    <w:rPr>
      <w:rFonts w:ascii="Arial" w:hAnsi="Arial" w:cs="Arial"/>
      <w:b/>
      <w:color w:val="0E172B"/>
    </w:rPr>
  </w:style>
  <w:style w:type="character" w:customStyle="1" w:styleId="Heading11Char">
    <w:name w:val="Heading 11 Char"/>
    <w:basedOn w:val="DefaultParagraphFont"/>
    <w:link w:val="Heading11"/>
    <w:locked/>
    <w:rsid w:val="002642EE"/>
    <w:rPr>
      <w:rFonts w:ascii="Arial" w:hAnsi="Arial" w:cs="Arial"/>
      <w:b/>
      <w:color w:val="0E172B"/>
    </w:rPr>
  </w:style>
  <w:style w:type="paragraph" w:customStyle="1" w:styleId="Heading12">
    <w:name w:val="Heading 12"/>
    <w:next w:val="Normal"/>
    <w:link w:val="Heading12Char"/>
    <w:qFormat/>
    <w:rsid w:val="002642EE"/>
    <w:pPr>
      <w:spacing w:after="0" w:line="276" w:lineRule="auto"/>
    </w:pPr>
    <w:rPr>
      <w:rFonts w:ascii="Arial" w:hAnsi="Arial" w:cs="Arial"/>
      <w:b/>
      <w:color w:val="0E172B"/>
      <w:sz w:val="17"/>
    </w:rPr>
  </w:style>
  <w:style w:type="character" w:customStyle="1" w:styleId="Heading12Char">
    <w:name w:val="Heading 12 Char"/>
    <w:basedOn w:val="DefaultParagraphFont"/>
    <w:link w:val="Heading12"/>
    <w:locked/>
    <w:rsid w:val="002642EE"/>
    <w:rPr>
      <w:rFonts w:ascii="Arial" w:hAnsi="Arial" w:cs="Arial"/>
      <w:b/>
      <w:color w:val="0E172B"/>
      <w:sz w:val="17"/>
    </w:rPr>
  </w:style>
  <w:style w:type="paragraph" w:customStyle="1" w:styleId="Maintitle">
    <w:name w:val="Main title"/>
    <w:basedOn w:val="Normal"/>
    <w:next w:val="BodyText"/>
    <w:qFormat/>
    <w:rsid w:val="003B5952"/>
    <w:pPr>
      <w:spacing w:after="240" w:line="240" w:lineRule="atLeast"/>
    </w:pPr>
    <w:rPr>
      <w:rFonts w:ascii="Georgia" w:eastAsia="Arial" w:hAnsi="Georgia" w:cs="Times New Roman"/>
      <w:b/>
      <w:i/>
      <w:color w:val="DC6900"/>
      <w:sz w:val="36"/>
      <w:szCs w:val="28"/>
      <w:lang w:val="fi-FI"/>
    </w:rPr>
  </w:style>
  <w:style w:type="paragraph" w:styleId="BodyText">
    <w:name w:val="Body Text"/>
    <w:basedOn w:val="Normal"/>
    <w:link w:val="BodyTextChar"/>
    <w:uiPriority w:val="99"/>
    <w:unhideWhenUsed/>
    <w:qFormat/>
    <w:rsid w:val="009B7557"/>
    <w:pPr>
      <w:spacing w:after="180" w:line="240" w:lineRule="atLeast"/>
    </w:pPr>
    <w:rPr>
      <w:rFonts w:ascii="Georgia" w:eastAsia="Arial" w:hAnsi="Georgia" w:cs="Times New Roman"/>
      <w:sz w:val="20"/>
      <w:szCs w:val="20"/>
      <w:lang w:val="fi-FI"/>
    </w:rPr>
  </w:style>
  <w:style w:type="character" w:customStyle="1" w:styleId="BodyTextChar">
    <w:name w:val="Body Text Char"/>
    <w:basedOn w:val="DefaultParagraphFont"/>
    <w:link w:val="BodyText"/>
    <w:uiPriority w:val="99"/>
    <w:rsid w:val="009B7557"/>
    <w:rPr>
      <w:rFonts w:ascii="Georgia" w:eastAsia="Arial" w:hAnsi="Georgia" w:cs="Times New Roman"/>
      <w:sz w:val="20"/>
      <w:szCs w:val="20"/>
      <w:lang w:val="fi-FI"/>
    </w:rPr>
  </w:style>
  <w:style w:type="paragraph" w:customStyle="1" w:styleId="WAuditHeading1">
    <w:name w:val="W_Audit_Heading1"/>
    <w:uiPriority w:val="99"/>
    <w:qFormat/>
    <w:rsid w:val="00045724"/>
    <w:pPr>
      <w:spacing w:before="360" w:after="60" w:line="240" w:lineRule="atLeast"/>
    </w:pPr>
    <w:rPr>
      <w:rFonts w:ascii="Georgia" w:eastAsia="Arial" w:hAnsi="Georgia" w:cs="Times New Roman"/>
      <w:i/>
      <w:sz w:val="28"/>
      <w:szCs w:val="20"/>
      <w:lang w:val="fi-FI"/>
    </w:rPr>
  </w:style>
  <w:style w:type="paragraph" w:customStyle="1" w:styleId="WAuditHeading2">
    <w:name w:val="W_Audit_Heading2"/>
    <w:uiPriority w:val="99"/>
    <w:qFormat/>
    <w:rsid w:val="0087196B"/>
    <w:pPr>
      <w:keepNext/>
      <w:pBdr>
        <w:top w:val="single" w:sz="4" w:space="3" w:color="DC6900"/>
      </w:pBdr>
      <w:spacing w:before="240" w:after="60" w:line="240" w:lineRule="atLeast"/>
      <w:ind w:left="677" w:hanging="677"/>
      <w:outlineLvl w:val="1"/>
    </w:pPr>
    <w:rPr>
      <w:rFonts w:ascii="Georgia" w:eastAsia="Arial" w:hAnsi="Georgia" w:cs="Times New Roman"/>
      <w:i/>
      <w:color w:val="DC6900"/>
      <w:sz w:val="24"/>
      <w:szCs w:val="24"/>
      <w:lang w:val="fi-FI"/>
    </w:rPr>
  </w:style>
  <w:style w:type="paragraph" w:styleId="ListBullet">
    <w:name w:val="List Bullet"/>
    <w:basedOn w:val="Normal"/>
    <w:uiPriority w:val="13"/>
    <w:unhideWhenUsed/>
    <w:qFormat/>
    <w:rsid w:val="00085F9E"/>
    <w:pPr>
      <w:numPr>
        <w:numId w:val="3"/>
      </w:numPr>
      <w:spacing w:after="240" w:line="240" w:lineRule="atLeast"/>
      <w:ind w:left="357" w:hanging="357"/>
    </w:pPr>
    <w:rPr>
      <w:rFonts w:ascii="Georgia" w:eastAsia="Arial" w:hAnsi="Georgia" w:cs="Times New Roman"/>
      <w:sz w:val="20"/>
      <w:szCs w:val="20"/>
      <w:lang w:val="fi-FI"/>
    </w:rPr>
  </w:style>
  <w:style w:type="paragraph" w:styleId="ListBullet2">
    <w:name w:val="List Bullet 2"/>
    <w:basedOn w:val="Normal"/>
    <w:uiPriority w:val="13"/>
    <w:unhideWhenUsed/>
    <w:qFormat/>
    <w:rsid w:val="007821F2"/>
    <w:pPr>
      <w:numPr>
        <w:ilvl w:val="1"/>
        <w:numId w:val="3"/>
      </w:numPr>
      <w:tabs>
        <w:tab w:val="num" w:pos="1134"/>
      </w:tabs>
      <w:spacing w:after="240" w:line="240" w:lineRule="atLeast"/>
      <w:ind w:left="1134" w:hanging="567"/>
    </w:pPr>
    <w:rPr>
      <w:rFonts w:ascii="Georgia" w:eastAsia="Arial" w:hAnsi="Georgia" w:cs="Times New Roman"/>
      <w:sz w:val="20"/>
      <w:szCs w:val="20"/>
      <w:lang w:val="en-GB"/>
    </w:rPr>
  </w:style>
  <w:style w:type="paragraph" w:styleId="ListBullet4">
    <w:name w:val="List Bullet 4"/>
    <w:basedOn w:val="Normal"/>
    <w:uiPriority w:val="13"/>
    <w:unhideWhenUsed/>
    <w:rsid w:val="007821F2"/>
    <w:pPr>
      <w:numPr>
        <w:ilvl w:val="3"/>
        <w:numId w:val="3"/>
      </w:numPr>
      <w:tabs>
        <w:tab w:val="num" w:pos="2268"/>
      </w:tabs>
      <w:spacing w:after="240" w:line="240" w:lineRule="atLeast"/>
      <w:ind w:left="2268" w:hanging="567"/>
    </w:pPr>
    <w:rPr>
      <w:rFonts w:ascii="Georgia" w:eastAsia="Arial" w:hAnsi="Georgia" w:cs="Times New Roman"/>
      <w:sz w:val="20"/>
      <w:szCs w:val="20"/>
      <w:lang w:val="en-GB"/>
    </w:rPr>
  </w:style>
  <w:style w:type="paragraph" w:styleId="ListBullet5">
    <w:name w:val="List Bullet 5"/>
    <w:basedOn w:val="Normal"/>
    <w:uiPriority w:val="13"/>
    <w:unhideWhenUsed/>
    <w:rsid w:val="007821F2"/>
    <w:pPr>
      <w:numPr>
        <w:ilvl w:val="4"/>
        <w:numId w:val="3"/>
      </w:numPr>
      <w:tabs>
        <w:tab w:val="num" w:pos="2835"/>
      </w:tabs>
      <w:spacing w:after="240" w:line="240" w:lineRule="atLeast"/>
      <w:ind w:left="2835" w:hanging="567"/>
    </w:pPr>
    <w:rPr>
      <w:rFonts w:ascii="Georgia" w:eastAsia="Arial" w:hAnsi="Georgia" w:cs="Times New Roman"/>
      <w:sz w:val="20"/>
      <w:szCs w:val="20"/>
      <w:lang w:val="en-GB"/>
    </w:rPr>
  </w:style>
  <w:style w:type="paragraph" w:customStyle="1" w:styleId="WAuditHeading3">
    <w:name w:val="W_Audit_Heading3"/>
    <w:uiPriority w:val="99"/>
    <w:qFormat/>
    <w:rsid w:val="00045724"/>
    <w:pPr>
      <w:spacing w:before="240" w:after="60" w:line="240" w:lineRule="atLeast"/>
    </w:pPr>
    <w:rPr>
      <w:rFonts w:ascii="Georgia" w:eastAsia="Arial" w:hAnsi="Georgia" w:cs="Times New Roman"/>
      <w:b/>
      <w:color w:val="000000"/>
      <w:sz w:val="20"/>
      <w:szCs w:val="20"/>
      <w:lang w:val="fi-FI"/>
    </w:rPr>
  </w:style>
  <w:style w:type="paragraph" w:customStyle="1" w:styleId="TableBody">
    <w:name w:val="TableBody"/>
    <w:basedOn w:val="BodyText"/>
    <w:qFormat/>
    <w:rsid w:val="00C30EF9"/>
    <w:pPr>
      <w:spacing w:before="60" w:after="60" w:line="264" w:lineRule="auto"/>
    </w:pPr>
  </w:style>
  <w:style w:type="paragraph" w:customStyle="1" w:styleId="TableBodyListBullet">
    <w:name w:val="TableBodyListBullet"/>
    <w:basedOn w:val="TableBody"/>
    <w:qFormat/>
    <w:rsid w:val="00C30EF9"/>
    <w:pPr>
      <w:numPr>
        <w:numId w:val="4"/>
      </w:numPr>
      <w:tabs>
        <w:tab w:val="num" w:pos="397"/>
      </w:tabs>
      <w:ind w:left="397" w:hanging="397"/>
    </w:pPr>
    <w:rPr>
      <w:szCs w:val="17"/>
    </w:rPr>
  </w:style>
  <w:style w:type="table" w:customStyle="1" w:styleId="PwCTableFigures">
    <w:name w:val="PwC Table Figures"/>
    <w:basedOn w:val="TableNormal"/>
    <w:uiPriority w:val="99"/>
    <w:qFormat/>
    <w:rsid w:val="00F17E50"/>
    <w:pPr>
      <w:spacing w:after="0" w:line="240" w:lineRule="auto"/>
    </w:pPr>
    <w:rPr>
      <w:rFonts w:ascii="Arial" w:eastAsia="Arial" w:hAnsi="Arial" w:cs="Times New Roman"/>
      <w:sz w:val="20"/>
      <w:szCs w:val="20"/>
      <w:lang w:val="en-GB"/>
    </w:rPr>
    <w:tblPr>
      <w:tblBorders>
        <w:bottom w:val="single" w:sz="4" w:space="0" w:color="DC6900" w:themeColor="text2"/>
        <w:insideH w:val="dotted" w:sz="4" w:space="0" w:color="DC6900" w:themeColor="text2"/>
      </w:tblBorders>
      <w:tblCellMar>
        <w:top w:w="57" w:type="dxa"/>
      </w:tblCellMar>
    </w:tblPr>
    <w:tblStylePr w:type="firstRow">
      <w:rPr>
        <w:b/>
      </w:rPr>
      <w:tblPr/>
      <w:tcPr>
        <w:tcBorders>
          <w:top w:val="single" w:sz="6" w:space="0" w:color="DC6900" w:themeColor="text2"/>
          <w:left w:val="nil"/>
          <w:bottom w:val="single" w:sz="6" w:space="0" w:color="DC6900" w:themeColor="text2"/>
          <w:right w:val="nil"/>
          <w:insideH w:val="nil"/>
          <w:insideV w:val="nil"/>
          <w:tl2br w:val="nil"/>
          <w:tr2bl w:val="nil"/>
        </w:tcBorders>
      </w:tcPr>
    </w:tblStylePr>
    <w:tblStylePr w:type="lastRow">
      <w:rPr>
        <w:rFonts w:asciiTheme="minorHAnsi" w:hAnsiTheme="minorHAnsi"/>
        <w:b/>
        <w:i w:val="0"/>
        <w:color w:val="auto"/>
        <w:sz w:val="20"/>
      </w:rPr>
      <w:tblPr/>
      <w:tcPr>
        <w:tcBorders>
          <w:top w:val="single" w:sz="6" w:space="0" w:color="DC6900" w:themeColor="text2"/>
          <w:left w:val="nil"/>
          <w:bottom w:val="single" w:sz="6" w:space="0" w:color="DC6900" w:themeColor="text2"/>
          <w:right w:val="nil"/>
          <w:insideH w:val="nil"/>
          <w:insideV w:val="nil"/>
          <w:tl2br w:val="nil"/>
          <w:tr2bl w:val="nil"/>
        </w:tcBorders>
      </w:tcPr>
    </w:tblStylePr>
  </w:style>
  <w:style w:type="paragraph" w:customStyle="1" w:styleId="BodySingle">
    <w:name w:val="Body Single"/>
    <w:basedOn w:val="BodyText"/>
    <w:link w:val="BodySingleChar"/>
    <w:rsid w:val="00F17E50"/>
    <w:pPr>
      <w:spacing w:after="0"/>
    </w:pPr>
  </w:style>
  <w:style w:type="character" w:customStyle="1" w:styleId="BodySingleChar">
    <w:name w:val="Body Single Char"/>
    <w:basedOn w:val="BodyTextChar"/>
    <w:link w:val="BodySingle"/>
    <w:rsid w:val="00F17E50"/>
  </w:style>
  <w:style w:type="numbering" w:customStyle="1" w:styleId="TableListNumber">
    <w:name w:val="TableListNumber"/>
    <w:uiPriority w:val="99"/>
    <w:rsid w:val="00F17E50"/>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chart" Target="charts/chart3.xml" /><Relationship Id="rId12" Type="http://schemas.openxmlformats.org/officeDocument/2006/relationships/chart" Target="charts/chart4.xml" /><Relationship Id="rId13" Type="http://schemas.openxmlformats.org/officeDocument/2006/relationships/chart" Target="charts/chart5.xml" /><Relationship Id="rId14" Type="http://schemas.openxmlformats.org/officeDocument/2006/relationships/chart" Target="charts/chart6.xml" /><Relationship Id="rId15" Type="http://schemas.openxmlformats.org/officeDocument/2006/relationships/chart" Target="charts/chart7.xml" /><Relationship Id="rId16" Type="http://schemas.openxmlformats.org/officeDocument/2006/relationships/chart" Target="charts/chart8.xml" /><Relationship Id="rId17" Type="http://schemas.openxmlformats.org/officeDocument/2006/relationships/header" Target="header3.xml" /><Relationship Id="rId18" Type="http://schemas.openxmlformats.org/officeDocument/2006/relationships/chart" Target="charts/chart9.xml" /><Relationship Id="rId19" Type="http://schemas.openxmlformats.org/officeDocument/2006/relationships/header" Target="header4.xml" /><Relationship Id="rId2" Type="http://schemas.openxmlformats.org/officeDocument/2006/relationships/webSettings" Target="webSettings.xml" /><Relationship Id="rId20" Type="http://schemas.openxmlformats.org/officeDocument/2006/relationships/header" Target="header5.xml" /><Relationship Id="rId21" Type="http://schemas.openxmlformats.org/officeDocument/2006/relationships/footer" Target="footer1.xml" /><Relationship Id="rId22" Type="http://schemas.openxmlformats.org/officeDocument/2006/relationships/footer" Target="footer2.xml" /><Relationship Id="rId23" Type="http://schemas.openxmlformats.org/officeDocument/2006/relationships/header" Target="header6.xml" /><Relationship Id="rId24" Type="http://schemas.openxmlformats.org/officeDocument/2006/relationships/footer" Target="footer3.xml" /><Relationship Id="rId25" Type="http://schemas.openxmlformats.org/officeDocument/2006/relationships/header" Target="header7.xml" /><Relationship Id="rId26" Type="http://schemas.openxmlformats.org/officeDocument/2006/relationships/header" Target="header8.xml" /><Relationship Id="rId27" Type="http://schemas.openxmlformats.org/officeDocument/2006/relationships/header" Target="header9.xml" /><Relationship Id="rId28" Type="http://schemas.openxmlformats.org/officeDocument/2006/relationships/header" Target="header10.xml" /><Relationship Id="rId29" Type="http://schemas.openxmlformats.org/officeDocument/2006/relationships/footer" Target="footer4.xml" /><Relationship Id="rId3" Type="http://schemas.openxmlformats.org/officeDocument/2006/relationships/fontTable" Target="fontTable.xml" /><Relationship Id="rId30" Type="http://schemas.openxmlformats.org/officeDocument/2006/relationships/footer" Target="footer5.xml" /><Relationship Id="rId31" Type="http://schemas.openxmlformats.org/officeDocument/2006/relationships/header" Target="header11.xml" /><Relationship Id="rId32" Type="http://schemas.openxmlformats.org/officeDocument/2006/relationships/footer" Target="footer6.xml" /><Relationship Id="rId33" Type="http://schemas.openxmlformats.org/officeDocument/2006/relationships/header" Target="header12.xml" /><Relationship Id="rId34" Type="http://schemas.openxmlformats.org/officeDocument/2006/relationships/header" Target="header13.xml" /><Relationship Id="rId35" Type="http://schemas.openxmlformats.org/officeDocument/2006/relationships/footer" Target="footer7.xml" /><Relationship Id="rId36" Type="http://schemas.openxmlformats.org/officeDocument/2006/relationships/footer" Target="footer8.xml" /><Relationship Id="rId37" Type="http://schemas.openxmlformats.org/officeDocument/2006/relationships/header" Target="header14.xml" /><Relationship Id="rId38" Type="http://schemas.openxmlformats.org/officeDocument/2006/relationships/footer" Target="footer9.xml" /><Relationship Id="rId39" Type="http://schemas.openxmlformats.org/officeDocument/2006/relationships/header" Target="header15.xml" /><Relationship Id="rId4" Type="http://schemas.openxmlformats.org/officeDocument/2006/relationships/customXml" Target="../customXml/item1.xml" /><Relationship Id="rId40" Type="http://schemas.openxmlformats.org/officeDocument/2006/relationships/header" Target="header16.xml" /><Relationship Id="rId41" Type="http://schemas.openxmlformats.org/officeDocument/2006/relationships/footer" Target="footer10.xml" /><Relationship Id="rId42" Type="http://schemas.openxmlformats.org/officeDocument/2006/relationships/footer" Target="footer11.xml" /><Relationship Id="rId43" Type="http://schemas.openxmlformats.org/officeDocument/2006/relationships/header" Target="header17.xml" /><Relationship Id="rId44" Type="http://schemas.openxmlformats.org/officeDocument/2006/relationships/footer" Target="footer12.xml" /><Relationship Id="rId45" Type="http://schemas.openxmlformats.org/officeDocument/2006/relationships/header" Target="header18.xml" /><Relationship Id="rId46" Type="http://schemas.openxmlformats.org/officeDocument/2006/relationships/header" Target="header19.xml" /><Relationship Id="rId47" Type="http://schemas.openxmlformats.org/officeDocument/2006/relationships/footer" Target="footer13.xml" /><Relationship Id="rId48" Type="http://schemas.openxmlformats.org/officeDocument/2006/relationships/footer" Target="footer14.xml" /><Relationship Id="rId49" Type="http://schemas.openxmlformats.org/officeDocument/2006/relationships/header" Target="header20.xml" /><Relationship Id="rId5" Type="http://schemas.openxmlformats.org/officeDocument/2006/relationships/header" Target="header1.xml" /><Relationship Id="rId50" Type="http://schemas.openxmlformats.org/officeDocument/2006/relationships/footer" Target="footer15.xml" /><Relationship Id="rId51" Type="http://schemas.openxmlformats.org/officeDocument/2006/relationships/image" Target="media/image3.png" /><Relationship Id="rId52" Type="http://schemas.openxmlformats.org/officeDocument/2006/relationships/image" Target="media/image4.png" /><Relationship Id="rId53" Type="http://schemas.openxmlformats.org/officeDocument/2006/relationships/image" Target="media/image5.png" /><Relationship Id="rId54" Type="http://schemas.openxmlformats.org/officeDocument/2006/relationships/header" Target="header21.xml" /><Relationship Id="rId55" Type="http://schemas.openxmlformats.org/officeDocument/2006/relationships/header" Target="header22.xml" /><Relationship Id="rId56" Type="http://schemas.openxmlformats.org/officeDocument/2006/relationships/footer" Target="footer16.xml" /><Relationship Id="rId57" Type="http://schemas.openxmlformats.org/officeDocument/2006/relationships/footer" Target="footer17.xml" /><Relationship Id="rId58" Type="http://schemas.openxmlformats.org/officeDocument/2006/relationships/header" Target="header23.xml" /><Relationship Id="rId59" Type="http://schemas.openxmlformats.org/officeDocument/2006/relationships/footer" Target="footer18.xml" /><Relationship Id="rId6" Type="http://schemas.openxmlformats.org/officeDocument/2006/relationships/header" Target="header2.xml" /><Relationship Id="rId60" Type="http://schemas.openxmlformats.org/officeDocument/2006/relationships/theme" Target="theme/theme1.xml" /><Relationship Id="rId61" Type="http://schemas.openxmlformats.org/officeDocument/2006/relationships/numbering" Target="numbering.xml" /><Relationship Id="rId62" Type="http://schemas.openxmlformats.org/officeDocument/2006/relationships/styles" Target="styles.xml" /><Relationship Id="rId7" Type="http://schemas.openxmlformats.org/officeDocument/2006/relationships/chart" Target="charts/chart1.xml" /><Relationship Id="rId8" Type="http://schemas.openxmlformats.org/officeDocument/2006/relationships/chart" Target="charts/chart2.xml" /><Relationship Id="rId9" Type="http://schemas.openxmlformats.org/officeDocument/2006/relationships/image" Target="media/image1.png" /></Relationships>
</file>

<file path=word/_rels/header21.xml.rels>&#65279;<?xml version="1.0" encoding="utf-8" standalone="yes"?><Relationships xmlns="http://schemas.openxmlformats.org/package/2006/relationships"><Relationship Id="rId1" Type="http://schemas.openxmlformats.org/officeDocument/2006/relationships/image" Target="media/image6.png" /></Relationships>
</file>

<file path=word/_rels/header22.xml.rels>&#65279;<?xml version="1.0" encoding="utf-8" standalone="yes"?><Relationships xmlns="http://schemas.openxmlformats.org/package/2006/relationships"><Relationship Id="rId1" Type="http://schemas.openxmlformats.org/officeDocument/2006/relationships/image" Target="media/image6.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275"/>
          <c:y val="0.1955"/>
          <c:w val="0.8465"/>
          <c:h val="0.70625"/>
        </c:manualLayout>
      </c:layout>
      <c:barChart>
        <c:barDir val="col"/>
        <c:grouping val="stacked"/>
        <c:varyColors val="0"/>
        <c:ser>
          <c:idx val="2"/>
          <c:order val="0"/>
          <c:tx>
            <c:strRef>
              <c:f>'Liikevaihdon kehitys'!$E$3</c:f>
              <c:strCache>
                <c:ptCount val="1"/>
                <c:pt idx="0">
                  <c:v>Konsernin liikevaihdon kehitys</c:v>
                </c:pt>
              </c:strCache>
            </c:strRef>
          </c:tx>
          <c:spPr>
            <a:solidFill>
              <a:srgbClr val="0F334A"/>
            </a:solidFill>
            <a:ln w="6350">
              <a:solidFill>
                <a:srgbClr val="0F334A"/>
              </a:solidFill>
            </a:ln>
          </c:spPr>
          <c:invertIfNegative val="0"/>
          <c:dLbls>
            <c:numFmt formatCode="General" sourceLinked="1"/>
            <c:showLegendKey val="0"/>
            <c:showVal val="0"/>
            <c:showCatName val="0"/>
            <c:showSerName val="0"/>
            <c:showPercent val="0"/>
            <c:showBubbleSize val="0"/>
            <c:showLeaderLines val="0"/>
          </c:dLbls>
          <c:cat>
            <c:strRef>
              <c:f>'Liikevaihdon kehitys'!$B$6:$B$10</c:f>
              <c:strCache>
                <c:ptCount val="5"/>
                <c:pt idx="0">
                  <c:v>2016</c:v>
                </c:pt>
                <c:pt idx="1">
                  <c:v>2017*</c:v>
                </c:pt>
                <c:pt idx="2">
                  <c:v>2018</c:v>
                </c:pt>
                <c:pt idx="3">
                  <c:v>2019</c:v>
                </c:pt>
                <c:pt idx="4">
                  <c:v>2020</c:v>
                </c:pt>
              </c:strCache>
            </c:strRef>
          </c:cat>
          <c:val>
            <c:numRef>
              <c:f>'Liikevaihdon kehitys'!$E$6:$E$10</c:f>
              <c:numCache>
                <c:formatCode>General</c:formatCode>
                <c:ptCount val="5"/>
                <c:pt idx="0">
                  <c:v>4801</c:v>
                </c:pt>
                <c:pt idx="1">
                  <c:v>4911</c:v>
                </c:pt>
                <c:pt idx="2">
                  <c:v>5174</c:v>
                </c:pt>
                <c:pt idx="3">
                  <c:v>5170</c:v>
                </c:pt>
                <c:pt idx="4">
                  <c:v>4604</c:v>
                </c:pt>
              </c:numCache>
            </c:numRef>
          </c:val>
          <c:extLst>
            <c:ext xmlns:c="http://schemas.openxmlformats.org/drawingml/2006/chart" xmlns:c16="http://schemas.microsoft.com/office/drawing/2014/chart" uri="{C3380CC4-5D6E-409C-BE32-E72D297353CC}">
              <c16:uniqueId val="{00000002-48F7-467F-96D6-A4278D8AF04D}"/>
            </c:ext>
          </c:extLst>
        </c:ser>
        <c:gapWidth val="500"/>
        <c:overlap val="100"/>
        <c:axId val="17480902"/>
        <c:axId val="26081618"/>
      </c:barChart>
      <c:catAx>
        <c:axId val="1748090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26081618"/>
        <c:crosses val="autoZero"/>
        <c:auto val="1"/>
        <c:lblOffset val="100"/>
        <c:noMultiLvlLbl val="0"/>
      </c:catAx>
      <c:valAx>
        <c:axId val="26081618"/>
        <c:scaling>
          <c:orientation val="minMax"/>
          <c:max val="600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00275"/>
              <c:y val="0.00675"/>
            </c:manualLayout>
          </c:layout>
          <c:overlay val="0"/>
          <c:spPr>
            <a:noFill/>
            <a:ln w="6350">
              <a:noFill/>
            </a:ln>
          </c:spPr>
        </c:title>
        <c:numFmt formatCode="#,##0" sourceLinked="0"/>
        <c:majorTickMark val="none"/>
        <c:minorTickMark val="none"/>
        <c:tickLblPos val="nextTo"/>
        <c:spPr>
          <a:noFill/>
          <a:ln w="6350">
            <a:noFill/>
          </a:ln>
        </c:spPr>
        <c:crossAx val="17480902"/>
        <c:crosses val="autoZero"/>
        <c:crossBetween val="between"/>
        <c:majorUnit val="1000"/>
      </c:valAx>
      <c:spPr>
        <a:noFill/>
        <a:ln w="25400">
          <a:noFill/>
        </a:ln>
      </c:spPr>
    </c:plotArea>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5"/>
          <c:y val="0.1605"/>
          <c:w val="0.815"/>
          <c:h val="0.571"/>
        </c:manualLayout>
      </c:layout>
      <c:barChart>
        <c:barDir val="col"/>
        <c:grouping val="clustered"/>
        <c:varyColors val="0"/>
        <c:ser>
          <c:idx val="2"/>
          <c:order val="0"/>
          <c:tx>
            <c:strRef>
              <c:f>'Liikevaihdon kehitys'!$E$21</c:f>
              <c:strCache>
                <c:ptCount val="1"/>
                <c:pt idx="0">
                  <c:v>Vertailukelpoinen liiketulos</c:v>
                </c:pt>
              </c:strCache>
            </c:strRef>
          </c:tx>
          <c:spPr>
            <a:solidFill>
              <a:srgbClr val="0F334A"/>
            </a:solidFill>
            <a:ln w="6350">
              <a:noFill/>
            </a:ln>
          </c:spPr>
          <c:invertIfNegative val="0"/>
          <c:dLbls>
            <c:numFmt formatCode="General" sourceLinked="1"/>
            <c:showLegendKey val="0"/>
            <c:showVal val="0"/>
            <c:showCatName val="0"/>
            <c:showSerName val="0"/>
            <c:showPercent val="0"/>
            <c:showBubbleSize val="0"/>
            <c:showLeaderLines val="0"/>
          </c:dLbls>
          <c:cat>
            <c:strRef>
              <c:f>'Liikevaihdon kehitys'!$B$22:$B$26</c:f>
              <c:strCache>
                <c:ptCount val="5"/>
                <c:pt idx="0">
                  <c:v>2016</c:v>
                </c:pt>
                <c:pt idx="1">
                  <c:v>2017*</c:v>
                </c:pt>
                <c:pt idx="2">
                  <c:v>2018</c:v>
                </c:pt>
                <c:pt idx="3">
                  <c:v>2019</c:v>
                </c:pt>
                <c:pt idx="4">
                  <c:v>2020</c:v>
                </c:pt>
              </c:strCache>
            </c:strRef>
          </c:cat>
          <c:val>
            <c:numRef>
              <c:f>'Liikevaihdon kehitys'!$E$22:$E$26</c:f>
              <c:numCache>
                <c:formatCode>General</c:formatCode>
                <c:ptCount val="5"/>
                <c:pt idx="0">
                  <c:v>583</c:v>
                </c:pt>
                <c:pt idx="1">
                  <c:v>576</c:v>
                </c:pt>
                <c:pt idx="2">
                  <c:v>577</c:v>
                </c:pt>
                <c:pt idx="3">
                  <c:v>457</c:v>
                </c:pt>
                <c:pt idx="4">
                  <c:v>275</c:v>
                </c:pt>
              </c:numCache>
            </c:numRef>
          </c:val>
          <c:extLst>
            <c:ext xmlns:c="http://schemas.openxmlformats.org/drawingml/2006/chart" xmlns:c16="http://schemas.microsoft.com/office/drawing/2014/chart" uri="{C3380CC4-5D6E-409C-BE32-E72D297353CC}">
              <c16:uniqueId val="{00000000-0584-45E9-B440-BB39E31D9312}"/>
            </c:ext>
          </c:extLst>
        </c:ser>
        <c:ser>
          <c:idx val="0"/>
          <c:order val="1"/>
          <c:tx>
            <c:strRef>
              <c:f>'Liikevaihdon kehitys'!$I$21</c:f>
              <c:strCache>
                <c:ptCount val="1"/>
                <c:pt idx="0">
                  <c:v>Tulos ennen veroja</c:v>
                </c:pt>
              </c:strCache>
            </c:strRef>
          </c:tx>
          <c:spPr>
            <a:solidFill>
              <a:srgbClr val="CCCCCC"/>
            </a:solidFill>
            <a:ln w="6350">
              <a:noFill/>
            </a:ln>
          </c:spPr>
          <c:invertIfNegative val="0"/>
          <c:dLbls>
            <c:numFmt formatCode="General" sourceLinked="1"/>
            <c:showLegendKey val="0"/>
            <c:showVal val="0"/>
            <c:showCatName val="0"/>
            <c:showSerName val="0"/>
            <c:showPercent val="0"/>
            <c:showBubbleSize val="0"/>
            <c:showLeaderLines val="0"/>
          </c:dLbls>
          <c:cat>
            <c:strRef>
              <c:f>'Liikevaihdon kehitys'!$B$22:$B$26</c:f>
              <c:strCache>
                <c:ptCount val="5"/>
                <c:pt idx="0">
                  <c:v>2016</c:v>
                </c:pt>
                <c:pt idx="1">
                  <c:v>2017*</c:v>
                </c:pt>
                <c:pt idx="2">
                  <c:v>2018</c:v>
                </c:pt>
                <c:pt idx="3">
                  <c:v>2019</c:v>
                </c:pt>
                <c:pt idx="4">
                  <c:v>2020</c:v>
                </c:pt>
              </c:strCache>
            </c:strRef>
          </c:cat>
          <c:val>
            <c:numRef>
              <c:f>'Liikevaihdon kehitys'!$I$22:$I$26</c:f>
              <c:numCache>
                <c:formatCode>0</c:formatCode>
                <c:ptCount val="5"/>
                <c:pt idx="0">
                  <c:v>479</c:v>
                </c:pt>
                <c:pt idx="1">
                  <c:v>491</c:v>
                </c:pt>
                <c:pt idx="2">
                  <c:v>502</c:v>
                </c:pt>
                <c:pt idx="3">
                  <c:v>315</c:v>
                </c:pt>
                <c:pt idx="4">
                  <c:v>191</c:v>
                </c:pt>
              </c:numCache>
            </c:numRef>
          </c:val>
          <c:extLst>
            <c:ext xmlns:c="http://schemas.openxmlformats.org/drawingml/2006/chart" xmlns:c16="http://schemas.microsoft.com/office/drawing/2014/chart" uri="{C3380CC4-5D6E-409C-BE32-E72D297353CC}">
              <c16:uniqueId val="{00000002-0584-45E9-B440-BB39E31D9312}"/>
            </c:ext>
          </c:extLst>
        </c:ser>
        <c:gapWidth val="500"/>
        <c:axId val="55117342"/>
        <c:axId val="7009233"/>
      </c:barChart>
      <c:lineChart>
        <c:grouping val="standard"/>
        <c:varyColors val="0"/>
        <c:ser>
          <c:idx val="1"/>
          <c:order val="2"/>
          <c:tx>
            <c:strRef>
              <c:f>'Liikevaihdon kehitys'!$M$21</c:f>
              <c:strCache>
                <c:ptCount val="1"/>
                <c:pt idx="0">
                  <c:v>Vertailukelpoinen liiketulos, %</c:v>
                </c:pt>
              </c:strCache>
            </c:strRef>
          </c:tx>
          <c:spPr>
            <a:ln w="22225" cap="rnd">
              <a:solidFill>
                <a:schemeClr val="accent2"/>
              </a:solidFill>
              <a:round/>
            </a:ln>
          </c:spPr>
          <c:marker>
            <c:symbol val="none"/>
          </c:marker>
          <c:dLbls>
            <c:numFmt formatCode="General" sourceLinked="1"/>
            <c:showLegendKey val="0"/>
            <c:showVal val="0"/>
            <c:showCatName val="0"/>
            <c:showSerName val="0"/>
            <c:showPercent val="0"/>
            <c:showBubbleSize val="0"/>
            <c:showLeaderLines val="0"/>
          </c:dLbls>
          <c:cat>
            <c:strRef>
              <c:f>'Liikevaihdon kehitys'!$B$22:$B$26</c:f>
              <c:strCache>
                <c:ptCount val="5"/>
                <c:pt idx="0">
                  <c:v>2016</c:v>
                </c:pt>
                <c:pt idx="1">
                  <c:v>2017*</c:v>
                </c:pt>
                <c:pt idx="2">
                  <c:v>2018</c:v>
                </c:pt>
                <c:pt idx="3">
                  <c:v>2019</c:v>
                </c:pt>
                <c:pt idx="4">
                  <c:v>2020</c:v>
                </c:pt>
              </c:strCache>
            </c:strRef>
          </c:cat>
          <c:val>
            <c:numRef>
              <c:f>'Liikevaihdon kehitys'!$M$22:$M$26</c:f>
              <c:numCache>
                <c:formatCode>0.0</c:formatCode>
                <c:ptCount val="5"/>
                <c:pt idx="0">
                  <c:v>12.1</c:v>
                </c:pt>
                <c:pt idx="1">
                  <c:v>11.7</c:v>
                </c:pt>
                <c:pt idx="2">
                  <c:v>11.2</c:v>
                </c:pt>
                <c:pt idx="3">
                  <c:v>8.8</c:v>
                </c:pt>
                <c:pt idx="4">
                  <c:v>6</c:v>
                </c:pt>
              </c:numCache>
            </c:numRef>
          </c:val>
          <c:smooth val="0"/>
          <c:extLst>
            <c:ext xmlns:c="http://schemas.openxmlformats.org/drawingml/2006/chart" xmlns:c16="http://schemas.microsoft.com/office/drawing/2014/chart" uri="{C3380CC4-5D6E-409C-BE32-E72D297353CC}">
              <c16:uniqueId val="{00000003-0584-45E9-B440-BB39E31D9312}"/>
            </c:ext>
          </c:extLst>
        </c:ser>
        <c:marker val="1"/>
        <c:axId val="58417333"/>
        <c:axId val="48257526"/>
      </c:lineChart>
      <c:catAx>
        <c:axId val="5511734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7009233"/>
        <c:crosses val="autoZero"/>
        <c:auto val="1"/>
        <c:lblOffset val="100"/>
        <c:noMultiLvlLbl val="0"/>
      </c:catAx>
      <c:valAx>
        <c:axId val="7009233"/>
        <c:scaling>
          <c:orientation val="minMax"/>
          <c:max val="70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0035"/>
              <c:y val="0.0045"/>
            </c:manualLayout>
          </c:layout>
          <c:overlay val="0"/>
          <c:spPr>
            <a:noFill/>
            <a:ln w="6350">
              <a:noFill/>
            </a:ln>
          </c:spPr>
        </c:title>
        <c:numFmt formatCode="#,##0" sourceLinked="0"/>
        <c:majorTickMark val="none"/>
        <c:minorTickMark val="none"/>
        <c:tickLblPos val="nextTo"/>
        <c:spPr>
          <a:noFill/>
          <a:ln w="6350">
            <a:noFill/>
          </a:ln>
        </c:spPr>
        <c:crossAx val="55117342"/>
        <c:crosses val="autoZero"/>
        <c:crossBetween val="between"/>
        <c:majorUnit val="100"/>
      </c:valAx>
      <c:catAx>
        <c:axId val="58417333"/>
        <c:scaling>
          <c:orientation val="minMax"/>
        </c:scaling>
        <c:delete val="1"/>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48257526"/>
        <c:crosses val="autoZero"/>
        <c:auto val="1"/>
        <c:lblOffset val="100"/>
        <c:noMultiLvlLbl val="0"/>
      </c:catAx>
      <c:valAx>
        <c:axId val="48257526"/>
        <c:scaling>
          <c:orientation val="minMax"/>
          <c:min val="0"/>
        </c:scaling>
        <c:delete val="0"/>
        <c:axPos val="l"/>
        <c:title>
          <c:tx>
            <c:rich>
              <a:bodyPr rot="0" vertOverflow="clip" vert="horz"/>
              <a:lstStyle/>
              <a:p>
                <a:pPr algn="ctr">
                  <a:defRPr/>
                </a:pPr>
                <a:r>
                  <a:rPr lang="en-US" u="none" baseline="0">
                    <a:solidFill>
                      <a:schemeClr val="tx1"/>
                    </a:solidFill>
                    <a:latin typeface="Arial"/>
                    <a:ea typeface="Arial"/>
                    <a:cs typeface="Arial"/>
                  </a:rPr>
                  <a:t>%</a:t>
                </a:r>
              </a:p>
            </c:rich>
          </c:tx>
          <c:layout>
            <c:manualLayout>
              <c:xMode val="edge"/>
              <c:yMode val="edge"/>
              <c:x val="0.9495"/>
              <c:y val="0.0325"/>
            </c:manualLayout>
          </c:layout>
          <c:overlay val="0"/>
          <c:spPr>
            <a:noFill/>
            <a:ln w="6350">
              <a:noFill/>
            </a:ln>
          </c:spPr>
        </c:title>
        <c:numFmt formatCode="0" sourceLinked="0"/>
        <c:majorTickMark val="out"/>
        <c:minorTickMark val="none"/>
        <c:tickLblPos val="nextTo"/>
        <c:spPr>
          <a:noFill/>
          <a:ln w="6350">
            <a:noFill/>
          </a:ln>
        </c:spPr>
        <c:crossAx val="58417333"/>
        <c:crosses val="max"/>
        <c:crossBetween val="between"/>
      </c:valAx>
      <c:spPr>
        <a:noFill/>
        <a:ln w="25400">
          <a:noFill/>
        </a:ln>
      </c:spPr>
    </c:plotArea>
    <c:legend>
      <c:legendPos val="b"/>
      <c:layout>
        <c:manualLayout>
          <c:xMode val="edge"/>
          <c:yMode val="edge"/>
          <c:x val="0.107"/>
          <c:y val="0.84875"/>
          <c:w val="0.551"/>
          <c:h val="0.1397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75"/>
          <c:y val="0.19225"/>
          <c:w val="0.828"/>
          <c:h val="0.70175"/>
        </c:manualLayout>
      </c:layout>
      <c:barChart>
        <c:barDir val="col"/>
        <c:grouping val="stacked"/>
        <c:varyColors val="0"/>
        <c:ser>
          <c:idx val="2"/>
          <c:order val="0"/>
          <c:tx>
            <c:strRef>
              <c:f>Rahoitus!$E$36</c:f>
              <c:strCache>
                <c:ptCount val="1"/>
                <c:pt idx="0">
                  <c:v>Vahvistetut luottolimiittisopimukset (kauden lopussa)</c:v>
                </c:pt>
              </c:strCache>
            </c:strRef>
          </c:tx>
          <c:spPr>
            <a:solidFill>
              <a:srgbClr val="0F172B"/>
            </a:solidFill>
            <a:ln w="6350">
              <a:noFill/>
            </a:ln>
          </c:spPr>
          <c:invertIfNegative val="0"/>
          <c:dLbls>
            <c:numFmt formatCode="General" sourceLinked="1"/>
            <c:showLegendKey val="0"/>
            <c:showVal val="0"/>
            <c:showCatName val="0"/>
            <c:showSerName val="0"/>
            <c:showPercent val="0"/>
            <c:showBubbleSize val="0"/>
            <c:showLeaderLines val="0"/>
          </c:dLbls>
          <c:cat>
            <c:numRef>
              <c:f>Rahoitus!$B$38:$B$44</c:f>
              <c:numCache>
                <c:formatCode>General</c:formatCode>
                <c:ptCount val="7"/>
                <c:pt idx="0">
                  <c:v>2020</c:v>
                </c:pt>
                <c:pt idx="1">
                  <c:v>2021</c:v>
                </c:pt>
                <c:pt idx="2">
                  <c:v>2022</c:v>
                </c:pt>
                <c:pt idx="3">
                  <c:v>2023</c:v>
                </c:pt>
                <c:pt idx="4">
                  <c:v>2024</c:v>
                </c:pt>
                <c:pt idx="5">
                  <c:v>2025</c:v>
                </c:pt>
                <c:pt idx="6">
                  <c:v>2026</c:v>
                </c:pt>
              </c:numCache>
            </c:numRef>
          </c:cat>
          <c:val>
            <c:numRef>
              <c:f>Rahoitus!$E$38:$E$44</c:f>
              <c:numCache>
                <c:formatCode>General</c:formatCode>
                <c:ptCount val="7"/>
                <c:pt idx="0">
                  <c:v>660</c:v>
                </c:pt>
                <c:pt idx="1">
                  <c:v>380</c:v>
                </c:pt>
                <c:pt idx="2">
                  <c:v>290</c:v>
                </c:pt>
                <c:pt idx="3">
                  <c:v>130</c:v>
                </c:pt>
                <c:pt idx="4">
                  <c:v>0</c:v>
                </c:pt>
              </c:numCache>
            </c:numRef>
          </c:val>
          <c:extLst>
            <c:ext xmlns:c="http://schemas.openxmlformats.org/drawingml/2006/chart" xmlns:c16="http://schemas.microsoft.com/office/drawing/2014/chart" uri="{C3380CC4-5D6E-409C-BE32-E72D297353CC}">
              <c16:uniqueId val="{00000000-79BE-4107-AB14-3569D1682B71}"/>
            </c:ext>
          </c:extLst>
        </c:ser>
        <c:gapWidth val="200"/>
        <c:overlap val="100"/>
        <c:axId val="46596350"/>
        <c:axId val="515790"/>
      </c:barChart>
      <c:catAx>
        <c:axId val="46596350"/>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515790"/>
        <c:crosses val="autoZero"/>
        <c:auto val="1"/>
        <c:lblOffset val="100"/>
        <c:noMultiLvlLbl val="0"/>
      </c:catAx>
      <c:valAx>
        <c:axId val="515790"/>
        <c:scaling>
          <c:orientation val="minMax"/>
          <c:max val="75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0035"/>
              <c:y val="0.007"/>
            </c:manualLayout>
          </c:layout>
          <c:overlay val="0"/>
          <c:spPr>
            <a:noFill/>
            <a:ln w="6350">
              <a:noFill/>
            </a:ln>
          </c:spPr>
        </c:title>
        <c:numFmt formatCode="#,##0" sourceLinked="0"/>
        <c:majorTickMark val="none"/>
        <c:minorTickMark val="none"/>
        <c:tickLblPos val="nextTo"/>
        <c:spPr>
          <a:noFill/>
          <a:ln w="6350">
            <a:noFill/>
          </a:ln>
        </c:spPr>
        <c:crossAx val="46596350"/>
        <c:crosses val="autoZero"/>
        <c:crossBetween val="between"/>
        <c:majorUnit val="150"/>
      </c:valAx>
      <c:spPr>
        <a:noFill/>
        <a:ln w="25400">
          <a:noFill/>
        </a:ln>
      </c:spPr>
    </c:plotArea>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4"/>
          <c:y val="0.1565"/>
          <c:w val="0.86275"/>
          <c:h val="0.5885"/>
        </c:manualLayout>
      </c:layout>
      <c:barChart>
        <c:barDir val="col"/>
        <c:grouping val="stacked"/>
        <c:varyColors val="0"/>
        <c:ser>
          <c:idx val="2"/>
          <c:order val="0"/>
          <c:tx>
            <c:strRef>
              <c:f>Rahoitus!$E$21</c:f>
              <c:strCache>
                <c:ptCount val="1"/>
                <c:pt idx="0">
                  <c:v>Pitkäaikaisten lainojen vuosittaiset takaisinmaksut</c:v>
                </c:pt>
              </c:strCache>
            </c:strRef>
          </c:tx>
          <c:spPr>
            <a:solidFill>
              <a:srgbClr val="0F172B"/>
            </a:solidFill>
            <a:ln w="6350">
              <a:noFill/>
            </a:ln>
          </c:spPr>
          <c:invertIfNegative val="0"/>
          <c:dLbls>
            <c:numFmt formatCode="General" sourceLinked="1"/>
            <c:showLegendKey val="0"/>
            <c:showVal val="0"/>
            <c:showCatName val="0"/>
            <c:showSerName val="0"/>
            <c:showPercent val="0"/>
            <c:showBubbleSize val="0"/>
            <c:showLeaderLines val="0"/>
          </c:dLbls>
          <c:cat>
            <c:strRef>
              <c:f>Rahoitus!$B$22:$B$33</c:f>
              <c:strCache>
                <c:ptCount val="12"/>
                <c:pt idx="0">
                  <c:v>21</c:v>
                </c:pt>
                <c:pt idx="1">
                  <c:v>22</c:v>
                </c:pt>
                <c:pt idx="2">
                  <c:v>23</c:v>
                </c:pt>
                <c:pt idx="3">
                  <c:v>24</c:v>
                </c:pt>
                <c:pt idx="4">
                  <c:v>25</c:v>
                </c:pt>
                <c:pt idx="5">
                  <c:v>26</c:v>
                </c:pt>
                <c:pt idx="6">
                  <c:v>27</c:v>
                </c:pt>
                <c:pt idx="7">
                  <c:v>28</c:v>
                </c:pt>
                <c:pt idx="8">
                  <c:v>29</c:v>
                </c:pt>
                <c:pt idx="9">
                  <c:v>30</c:v>
                </c:pt>
                <c:pt idx="10">
                  <c:v>31</c:v>
                </c:pt>
                <c:pt idx="11">
                  <c:v>31+</c:v>
                </c:pt>
              </c:strCache>
            </c:strRef>
          </c:cat>
          <c:val>
            <c:numRef>
              <c:f>Rahoitus!$E$22:$E$33</c:f>
              <c:numCache>
                <c:formatCode>General</c:formatCode>
                <c:ptCount val="12"/>
                <c:pt idx="0">
                  <c:v>158</c:v>
                </c:pt>
                <c:pt idx="1">
                  <c:v>297</c:v>
                </c:pt>
                <c:pt idx="2">
                  <c:v>182</c:v>
                </c:pt>
                <c:pt idx="3">
                  <c:v>115</c:v>
                </c:pt>
                <c:pt idx="4">
                  <c:v>117</c:v>
                </c:pt>
                <c:pt idx="5">
                  <c:v>188</c:v>
                </c:pt>
                <c:pt idx="6">
                  <c:v>58</c:v>
                </c:pt>
                <c:pt idx="7">
                  <c:v>29</c:v>
                </c:pt>
                <c:pt idx="8">
                  <c:v>12</c:v>
                </c:pt>
                <c:pt idx="9">
                  <c:v>6</c:v>
                </c:pt>
                <c:pt idx="10">
                  <c:v>0</c:v>
                </c:pt>
                <c:pt idx="11">
                  <c:v>0</c:v>
                </c:pt>
              </c:numCache>
            </c:numRef>
          </c:val>
          <c:extLst>
            <c:ext xmlns:c="http://schemas.openxmlformats.org/drawingml/2006/chart" xmlns:c16="http://schemas.microsoft.com/office/drawing/2014/chart" uri="{C3380CC4-5D6E-409C-BE32-E72D297353CC}">
              <c16:uniqueId val="{00000000-9680-4CEB-BB51-A098432E730E}"/>
            </c:ext>
          </c:extLst>
        </c:ser>
        <c:gapWidth val="130"/>
        <c:overlap val="100"/>
        <c:axId val="38853950"/>
        <c:axId val="30073087"/>
      </c:barChart>
      <c:catAx>
        <c:axId val="38853950"/>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30073087"/>
        <c:crosses val="autoZero"/>
        <c:auto val="1"/>
        <c:lblOffset val="100"/>
        <c:noMultiLvlLbl val="0"/>
      </c:catAx>
      <c:valAx>
        <c:axId val="30073087"/>
        <c:scaling>
          <c:orientation val="minMax"/>
          <c:max val="30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0035"/>
              <c:y val="0.003"/>
            </c:manualLayout>
          </c:layout>
          <c:overlay val="0"/>
          <c:spPr>
            <a:noFill/>
            <a:ln w="6350">
              <a:noFill/>
            </a:ln>
          </c:spPr>
        </c:title>
        <c:numFmt formatCode="#,##0" sourceLinked="0"/>
        <c:majorTickMark val="none"/>
        <c:minorTickMark val="none"/>
        <c:tickLblPos val="nextTo"/>
        <c:spPr>
          <a:noFill/>
          <a:ln w="6350">
            <a:noFill/>
          </a:ln>
        </c:spPr>
        <c:crossAx val="38853950"/>
        <c:crosses val="autoZero"/>
        <c:crossBetween val="between"/>
      </c:valAx>
      <c:spPr>
        <a:noFill/>
        <a:ln w="25400">
          <a:noFill/>
        </a:ln>
      </c:spPr>
    </c:plotArea>
    <c:legend>
      <c:legendPos val="b"/>
      <c:layout>
        <c:manualLayout>
          <c:xMode val="edge"/>
          <c:yMode val="edge"/>
          <c:x val="0.04825"/>
          <c:y val="0.86875"/>
          <c:w val="0.9025"/>
          <c:h val="0.128"/>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25"/>
          <c:y val="0.169"/>
          <c:w val="0.867"/>
          <c:h val="0.725"/>
        </c:manualLayout>
      </c:layout>
      <c:barChart>
        <c:barDir val="col"/>
        <c:grouping val="stacked"/>
        <c:varyColors val="0"/>
        <c:ser>
          <c:idx val="2"/>
          <c:order val="0"/>
          <c:tx>
            <c:strRef>
              <c:f>Rahoitus!$E$48</c:f>
            </c:strRef>
          </c:tx>
          <c:spPr>
            <a:solidFill>
              <a:srgbClr val="0F172B"/>
            </a:solidFill>
            <a:ln w="6350">
              <a:noFill/>
            </a:ln>
          </c:spPr>
          <c:invertIfNegative val="0"/>
          <c:dLbls>
            <c:numFmt formatCode="General" sourceLinked="1"/>
            <c:showLegendKey val="0"/>
            <c:showVal val="0"/>
            <c:showCatName val="0"/>
            <c:showSerName val="0"/>
            <c:showPercent val="0"/>
            <c:showBubbleSize val="0"/>
            <c:showLeaderLines val="0"/>
          </c:dLbls>
          <c:cat>
            <c:numRef>
              <c:f>Rahoitus!$B$49:$B$53</c:f>
              <c:numCache>
                <c:formatCode>General</c:formatCode>
                <c:ptCount val="5"/>
                <c:pt idx="0">
                  <c:v>2016</c:v>
                </c:pt>
                <c:pt idx="1">
                  <c:v>2017</c:v>
                </c:pt>
                <c:pt idx="2">
                  <c:v>2018</c:v>
                </c:pt>
                <c:pt idx="3">
                  <c:v>2019</c:v>
                </c:pt>
                <c:pt idx="4">
                  <c:v>2020</c:v>
                </c:pt>
              </c:numCache>
            </c:numRef>
          </c:cat>
          <c:val>
            <c:numRef>
              <c:f>Rahoitus!$E$49:$E$53</c:f>
              <c:numCache>
                <c:formatCode>0.00</c:formatCode>
                <c:ptCount val="5"/>
                <c:pt idx="0">
                  <c:v>0.07</c:v>
                </c:pt>
                <c:pt idx="1">
                  <c:v>0.1</c:v>
                </c:pt>
                <c:pt idx="2">
                  <c:v>0.14</c:v>
                </c:pt>
                <c:pt idx="3">
                  <c:v>0.3</c:v>
                </c:pt>
                <c:pt idx="4">
                  <c:v>0.18</c:v>
                </c:pt>
              </c:numCache>
            </c:numRef>
          </c:val>
          <c:extLst>
            <c:ext xmlns:c="http://schemas.openxmlformats.org/drawingml/2006/chart" xmlns:c16="http://schemas.microsoft.com/office/drawing/2014/chart" uri="{C3380CC4-5D6E-409C-BE32-E72D297353CC}">
              <c16:uniqueId val="{00000000-64BD-485E-A598-B8C3A0067F70}"/>
            </c:ext>
          </c:extLst>
        </c:ser>
        <c:gapWidth val="300"/>
        <c:overlap val="100"/>
        <c:axId val="11209147"/>
        <c:axId val="19308712"/>
      </c:barChart>
      <c:catAx>
        <c:axId val="11209147"/>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crossAx val="19308712"/>
        <c:crosses val="autoZero"/>
        <c:auto val="1"/>
        <c:lblOffset val="100"/>
        <c:noMultiLvlLbl val="0"/>
      </c:catAx>
      <c:valAx>
        <c:axId val="19308712"/>
        <c:scaling>
          <c:orientation val="minMax"/>
          <c:max val="0.5"/>
        </c:scaling>
        <c:delete val="0"/>
        <c:axPos val="l"/>
        <c:majorGridlines>
          <c:spPr>
            <a:ln w="9525">
              <a:solidFill>
                <a:schemeClr val="tx1">
                  <a:lumMod val="15000"/>
                  <a:lumOff val="85000"/>
                </a:schemeClr>
              </a:solidFill>
              <a:round/>
            </a:ln>
          </c:spPr>
        </c:majorGridlines>
        <c:numFmt formatCode="#,##0.00" sourceLinked="0"/>
        <c:majorTickMark val="none"/>
        <c:minorTickMark val="none"/>
        <c:tickLblPos val="nextTo"/>
        <c:spPr>
          <a:noFill/>
          <a:ln w="6350">
            <a:noFill/>
          </a:ln>
        </c:spPr>
        <c:txPr>
          <a:bodyPr/>
          <a:lstStyle/>
          <a:p>
            <a:pPr>
              <a:defRPr lang="en-US" sz="700" b="0" u="none" baseline="0">
                <a:solidFill>
                  <a:schemeClr val="tx1"/>
                </a:solidFill>
                <a:latin typeface="Arial"/>
                <a:ea typeface="Arial"/>
                <a:cs typeface="Arial"/>
              </a:defRPr>
            </a:pPr>
          </a:p>
        </c:txPr>
        <c:crossAx val="11209147"/>
        <c:crosses val="autoZero"/>
        <c:crossBetween val="between"/>
        <c:majorUnit val="0.1"/>
      </c:valAx>
      <c:spPr>
        <a:noFill/>
        <a:ln w="25400">
          <a:noFill/>
        </a:ln>
      </c:spPr>
    </c:plotArea>
    <c:plotVisOnly val="1"/>
    <c:dispBlanksAs val="gap"/>
    <c:showDLblsOverMax val="0"/>
  </c:chart>
  <c:spPr>
    <a:solidFill>
      <a:schemeClr val="bg1"/>
    </a:solidFill>
    <a:ln w="9525">
      <a:solidFill>
        <a:schemeClr val="bg1"/>
      </a:solidFill>
      <a:round/>
    </a:ln>
  </c:spPr>
  <c:txPr>
    <a:bodyPr rot="0" vert="horz"/>
    <a:lstStyle/>
    <a:p>
      <a:pPr>
        <a:defRPr lang="en-US" sz="700" b="1" u="none" baseline="0">
          <a:solidFill>
            <a:schemeClr val="tx1"/>
          </a:solidFill>
          <a:latin typeface="Arial"/>
          <a:ea typeface="Arial"/>
          <a:cs typeface="Arial"/>
        </a:defRPr>
      </a:pPr>
    </a:p>
  </c:txPr>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75"/>
          <c:y val="0.132"/>
          <c:w val="0.88325"/>
          <c:h val="0.57225"/>
        </c:manualLayout>
      </c:layout>
      <c:barChart>
        <c:barDir val="col"/>
        <c:grouping val="stacked"/>
        <c:varyColors val="0"/>
        <c:ser>
          <c:idx val="0"/>
          <c:order val="0"/>
          <c:tx>
            <c:strRef>
              <c:f>Bruttoinvestoinnit!$E$5</c:f>
              <c:strCache>
                <c:ptCount val="1"/>
                <c:pt idx="0">
                  <c:v>Muut investoinnit</c:v>
                </c:pt>
              </c:strCache>
            </c:strRef>
          </c:tx>
          <c:spPr>
            <a:solidFill>
              <a:srgbClr val="0F334A"/>
            </a:solidFill>
            <a:ln w="6350">
              <a:solidFill>
                <a:srgbClr val="0F334A"/>
              </a:solidFill>
            </a:ln>
          </c:spPr>
          <c:invertIfNegative val="0"/>
          <c:dLbls>
            <c:numFmt formatCode="General" sourceLinked="1"/>
            <c:showLegendKey val="0"/>
            <c:showVal val="0"/>
            <c:showCatName val="0"/>
            <c:showSerName val="0"/>
            <c:showPercent val="0"/>
            <c:showBubbleSize val="0"/>
            <c:showLeaderLines val="0"/>
          </c:dLbls>
          <c:cat>
            <c:numRef>
              <c:f>Bruttoinvestoinnit!$B$6:$B$10</c:f>
              <c:numCache>
                <c:formatCode>General</c:formatCode>
                <c:ptCount val="5"/>
                <c:pt idx="0">
                  <c:v>2016</c:v>
                </c:pt>
                <c:pt idx="1">
                  <c:v>2017</c:v>
                </c:pt>
                <c:pt idx="2">
                  <c:v>2018</c:v>
                </c:pt>
                <c:pt idx="3">
                  <c:v>2019</c:v>
                </c:pt>
                <c:pt idx="4">
                  <c:v>2020</c:v>
                </c:pt>
              </c:numCache>
            </c:numRef>
          </c:cat>
          <c:val>
            <c:numRef>
              <c:f>Bruttoinvestoinnit!$E$6:$E$10</c:f>
              <c:numCache>
                <c:formatCode>General</c:formatCode>
                <c:ptCount val="5"/>
                <c:pt idx="0">
                  <c:v>55</c:v>
                </c:pt>
                <c:pt idx="1">
                  <c:v>64</c:v>
                </c:pt>
                <c:pt idx="2">
                  <c:v>110</c:v>
                </c:pt>
                <c:pt idx="3">
                  <c:v>116</c:v>
                </c:pt>
                <c:pt idx="4">
                  <c:v>115</c:v>
                </c:pt>
              </c:numCache>
            </c:numRef>
          </c:val>
          <c:extLst>
            <c:ext xmlns:c="http://schemas.openxmlformats.org/drawingml/2006/chart" xmlns:c16="http://schemas.microsoft.com/office/drawing/2014/chart" uri="{C3380CC4-5D6E-409C-BE32-E72D297353CC}">
              <c16:uniqueId val="{00000000-961C-4FB3-ABD5-F202BA61C6E8}"/>
            </c:ext>
          </c:extLst>
        </c:ser>
        <c:ser>
          <c:idx val="1"/>
          <c:order val="1"/>
          <c:tx>
            <c:strRef>
              <c:f>Bruttoinvestoinnit!$I$5</c:f>
              <c:strCache>
                <c:ptCount val="1"/>
                <c:pt idx="0">
                  <c:v>Yrityshankintoihin</c:v>
                </c:pt>
              </c:strCache>
            </c:strRef>
          </c:tx>
          <c:spPr>
            <a:solidFill>
              <a:srgbClr val="CCCCCC"/>
            </a:solidFill>
            <a:ln w="6350">
              <a:solidFill>
                <a:srgbClr val="CCCCCC"/>
              </a:solidFill>
            </a:ln>
          </c:spPr>
          <c:invertIfNegative val="0"/>
          <c:dLbls>
            <c:numFmt formatCode="General" sourceLinked="1"/>
            <c:showLegendKey val="0"/>
            <c:showVal val="0"/>
            <c:showCatName val="0"/>
            <c:showSerName val="0"/>
            <c:showPercent val="0"/>
            <c:showBubbleSize val="0"/>
            <c:showLeaderLines val="0"/>
          </c:dLbls>
          <c:cat>
            <c:numRef>
              <c:f>Bruttoinvestoinnit!$B$6:$B$10</c:f>
              <c:numCache>
                <c:formatCode>General</c:formatCode>
                <c:ptCount val="5"/>
                <c:pt idx="0">
                  <c:v>2016</c:v>
                </c:pt>
                <c:pt idx="1">
                  <c:v>2017</c:v>
                </c:pt>
                <c:pt idx="2">
                  <c:v>2018</c:v>
                </c:pt>
                <c:pt idx="3">
                  <c:v>2019</c:v>
                </c:pt>
                <c:pt idx="4">
                  <c:v>2020</c:v>
                </c:pt>
              </c:numCache>
            </c:numRef>
          </c:cat>
          <c:val>
            <c:numRef>
              <c:f>Bruttoinvestoinnit!$I$6:$I$10</c:f>
              <c:numCache>
                <c:formatCode>General</c:formatCode>
                <c:ptCount val="5"/>
                <c:pt idx="0">
                  <c:v>91</c:v>
                </c:pt>
                <c:pt idx="1">
                  <c:v>191</c:v>
                </c:pt>
                <c:pt idx="2">
                  <c:v>196</c:v>
                </c:pt>
                <c:pt idx="3">
                  <c:v>6</c:v>
                </c:pt>
                <c:pt idx="4">
                  <c:v>2</c:v>
                </c:pt>
              </c:numCache>
            </c:numRef>
          </c:val>
          <c:extLst>
            <c:ext xmlns:c="http://schemas.openxmlformats.org/drawingml/2006/chart" xmlns:c16="http://schemas.microsoft.com/office/drawing/2014/chart" uri="{C3380CC4-5D6E-409C-BE32-E72D297353CC}">
              <c16:uniqueId val="{00000001-961C-4FB3-ABD5-F202BA61C6E8}"/>
            </c:ext>
          </c:extLst>
        </c:ser>
        <c:gapWidth val="500"/>
        <c:overlap val="100"/>
        <c:axId val="64465259"/>
        <c:axId val="43006232"/>
      </c:barChart>
      <c:lineChart>
        <c:grouping val="standard"/>
        <c:varyColors val="0"/>
        <c:ser>
          <c:idx val="2"/>
          <c:order val="2"/>
          <c:tx>
            <c:strRef>
              <c:f>Bruttoinvestoinnit!$M$5</c:f>
              <c:strCache>
                <c:ptCount val="1"/>
                <c:pt idx="0">
                  <c:v>Poistot ja arvonalentumiset</c:v>
                </c:pt>
              </c:strCache>
            </c:strRef>
          </c:tx>
          <c:spPr>
            <a:ln w="22225" cap="rnd">
              <a:solidFill>
                <a:srgbClr val="FF7321"/>
              </a:solidFill>
              <a:round/>
            </a:ln>
          </c:spPr>
          <c:marker>
            <c:symbol val="none"/>
          </c:marker>
          <c:dLbls>
            <c:numFmt formatCode="General" sourceLinked="1"/>
            <c:showLegendKey val="0"/>
            <c:showVal val="0"/>
            <c:showCatName val="0"/>
            <c:showSerName val="0"/>
            <c:showPercent val="0"/>
            <c:showBubbleSize val="0"/>
            <c:showLeaderLines val="0"/>
          </c:dLbls>
          <c:cat>
            <c:numRef>
              <c:f>Bruttoinvestoinnit!$B$6:$B$10</c:f>
              <c:numCache>
                <c:formatCode>General</c:formatCode>
                <c:ptCount val="5"/>
                <c:pt idx="0">
                  <c:v>2016</c:v>
                </c:pt>
                <c:pt idx="1">
                  <c:v>2017</c:v>
                </c:pt>
                <c:pt idx="2">
                  <c:v>2018</c:v>
                </c:pt>
                <c:pt idx="3">
                  <c:v>2019</c:v>
                </c:pt>
                <c:pt idx="4">
                  <c:v>2020</c:v>
                </c:pt>
              </c:numCache>
            </c:numRef>
          </c:cat>
          <c:val>
            <c:numRef>
              <c:f>Bruttoinvestoinnit!$M$6:$M$10</c:f>
              <c:numCache>
                <c:formatCode>General</c:formatCode>
                <c:ptCount val="5"/>
                <c:pt idx="0">
                  <c:v>138</c:v>
                </c:pt>
                <c:pt idx="1">
                  <c:v>134</c:v>
                </c:pt>
                <c:pt idx="2">
                  <c:v>130</c:v>
                </c:pt>
                <c:pt idx="3">
                  <c:v>180</c:v>
                </c:pt>
                <c:pt idx="4">
                  <c:v>174</c:v>
                </c:pt>
              </c:numCache>
            </c:numRef>
          </c:val>
          <c:smooth val="0"/>
          <c:extLst>
            <c:ext xmlns:c="http://schemas.openxmlformats.org/drawingml/2006/chart" xmlns:c16="http://schemas.microsoft.com/office/drawing/2014/chart" uri="{C3380CC4-5D6E-409C-BE32-E72D297353CC}">
              <c16:uniqueId val="{00000002-961C-4FB3-ABD5-F202BA61C6E8}"/>
            </c:ext>
          </c:extLst>
        </c:ser>
        <c:marker val="1"/>
        <c:axId val="64465259"/>
        <c:axId val="43006232"/>
      </c:lineChart>
      <c:catAx>
        <c:axId val="64465259"/>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43006232"/>
        <c:crosses val="autoZero"/>
        <c:auto val="1"/>
        <c:lblOffset val="100"/>
        <c:noMultiLvlLbl val="0"/>
      </c:catAx>
      <c:valAx>
        <c:axId val="43006232"/>
        <c:scaling>
          <c:orientation val="minMax"/>
          <c:max val="40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
              <c:y val="0.00275"/>
            </c:manualLayout>
          </c:layout>
          <c:overlay val="0"/>
          <c:spPr>
            <a:noFill/>
            <a:ln w="6350">
              <a:noFill/>
            </a:ln>
          </c:spPr>
        </c:title>
        <c:numFmt formatCode="General" sourceLinked="1"/>
        <c:majorTickMark val="none"/>
        <c:minorTickMark val="none"/>
        <c:tickLblPos val="nextTo"/>
        <c:spPr>
          <a:noFill/>
          <a:ln w="6350">
            <a:noFill/>
          </a:ln>
        </c:spPr>
        <c:crossAx val="64465259"/>
        <c:crosses val="autoZero"/>
        <c:crossBetween val="between"/>
        <c:majorUnit val="100"/>
      </c:valAx>
      <c:spPr>
        <a:noFill/>
        <a:ln w="6350">
          <a:noFill/>
        </a:ln>
      </c:spPr>
    </c:plotArea>
    <c:legend>
      <c:legendPos val="b"/>
      <c:layout>
        <c:manualLayout>
          <c:xMode val="edge"/>
          <c:yMode val="edge"/>
          <c:x val="0.0245"/>
          <c:y val="0.812"/>
          <c:w val="0.668"/>
          <c:h val="0.1822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25"/>
          <c:y val="0.1755"/>
          <c:w val="0.81125"/>
          <c:h val="0.5825"/>
        </c:manualLayout>
      </c:layout>
      <c:barChart>
        <c:barDir val="col"/>
        <c:grouping val="clustered"/>
        <c:varyColors val="0"/>
        <c:ser>
          <c:idx val="0"/>
          <c:order val="0"/>
          <c:tx>
            <c:strRef>
              <c:f>'Tutkimus- ja kehitysmenot'!$E$5</c:f>
              <c:strCache>
                <c:ptCount val="1"/>
                <c:pt idx="0">
                  <c:v>Tutkimus- ja kehitysmenot</c:v>
                </c:pt>
              </c:strCache>
            </c:strRef>
          </c:tx>
          <c:spPr>
            <a:solidFill>
              <a:srgbClr val="0F334A"/>
            </a:solidFill>
            <a:ln w="6350">
              <a:solidFill>
                <a:srgbClr val="0F334A"/>
              </a:solidFill>
            </a:ln>
          </c:spPr>
          <c:invertIfNegative val="0"/>
          <c:dLbls>
            <c:numFmt formatCode="General" sourceLinked="1"/>
            <c:showLegendKey val="0"/>
            <c:showVal val="0"/>
            <c:showCatName val="0"/>
            <c:showSerName val="0"/>
            <c:showPercent val="0"/>
            <c:showBubbleSize val="0"/>
            <c:showLeaderLines val="0"/>
          </c:dLbls>
          <c:cat>
            <c:numRef>
              <c:f>'Tutkimus- ja kehitysmenot'!$B$6:$B$10</c:f>
              <c:numCache>
                <c:formatCode>General</c:formatCode>
                <c:ptCount val="5"/>
                <c:pt idx="0">
                  <c:v>2016</c:v>
                </c:pt>
                <c:pt idx="1">
                  <c:v>2017</c:v>
                </c:pt>
                <c:pt idx="2">
                  <c:v>2018</c:v>
                </c:pt>
                <c:pt idx="3">
                  <c:v>2019</c:v>
                </c:pt>
                <c:pt idx="4">
                  <c:v>2020</c:v>
                </c:pt>
              </c:numCache>
            </c:numRef>
          </c:cat>
          <c:val>
            <c:numRef>
              <c:f>'Tutkimus- ja kehitysmenot'!$E$6:$E$10</c:f>
              <c:numCache>
                <c:formatCode>General</c:formatCode>
                <c:ptCount val="5"/>
                <c:pt idx="0">
                  <c:v>131</c:v>
                </c:pt>
                <c:pt idx="1">
                  <c:v>141</c:v>
                </c:pt>
                <c:pt idx="2">
                  <c:v>165</c:v>
                </c:pt>
                <c:pt idx="3">
                  <c:v>164</c:v>
                </c:pt>
                <c:pt idx="4">
                  <c:v>153</c:v>
                </c:pt>
              </c:numCache>
            </c:numRef>
          </c:val>
          <c:extLst>
            <c:ext xmlns:c="http://schemas.openxmlformats.org/drawingml/2006/chart" xmlns:c16="http://schemas.microsoft.com/office/drawing/2014/chart" uri="{C3380CC4-5D6E-409C-BE32-E72D297353CC}">
              <c16:uniqueId val="{00000000-B538-4082-B464-187FF6F19124}"/>
            </c:ext>
          </c:extLst>
        </c:ser>
        <c:gapWidth val="500"/>
        <c:axId val="33197986"/>
        <c:axId val="56690229"/>
      </c:barChart>
      <c:lineChart>
        <c:grouping val="standard"/>
        <c:varyColors val="0"/>
        <c:ser>
          <c:idx val="1"/>
          <c:order val="1"/>
          <c:tx>
            <c:strRef>
              <c:f>'Tutkimus- ja kehitysmenot'!$I$5</c:f>
              <c:strCache>
                <c:ptCount val="1"/>
                <c:pt idx="0">
                  <c:v>Prosenttia liikevaihdosta</c:v>
                </c:pt>
              </c:strCache>
            </c:strRef>
          </c:tx>
          <c:spPr>
            <a:ln w="22225" cap="rnd">
              <a:solidFill>
                <a:srgbClr val="FF7321"/>
              </a:solidFill>
              <a:round/>
            </a:ln>
          </c:spPr>
          <c:marker>
            <c:symbol val="none"/>
          </c:marker>
          <c:dLbls>
            <c:numFmt formatCode="General" sourceLinked="1"/>
            <c:showLegendKey val="0"/>
            <c:showVal val="0"/>
            <c:showCatName val="0"/>
            <c:showSerName val="0"/>
            <c:showPercent val="0"/>
            <c:showBubbleSize val="0"/>
            <c:showLeaderLines val="0"/>
          </c:dLbls>
          <c:cat>
            <c:numRef>
              <c:f>'Tutkimus- ja kehitysmenot'!$B$6:$B$10</c:f>
              <c:numCache>
                <c:formatCode>General</c:formatCode>
                <c:ptCount val="5"/>
                <c:pt idx="0">
                  <c:v>2016</c:v>
                </c:pt>
                <c:pt idx="1">
                  <c:v>2017</c:v>
                </c:pt>
                <c:pt idx="2">
                  <c:v>2018</c:v>
                </c:pt>
                <c:pt idx="3">
                  <c:v>2019</c:v>
                </c:pt>
                <c:pt idx="4">
                  <c:v>2020</c:v>
                </c:pt>
              </c:numCache>
            </c:numRef>
          </c:cat>
          <c:val>
            <c:numRef>
              <c:f>'Tutkimus- ja kehitysmenot'!$I$6:$I$10</c:f>
              <c:numCache>
                <c:formatCode>General</c:formatCode>
                <c:ptCount val="5"/>
                <c:pt idx="0">
                  <c:v>2.7</c:v>
                </c:pt>
                <c:pt idx="1">
                  <c:v>2.9</c:v>
                </c:pt>
                <c:pt idx="2" formatCode="0.0">
                  <c:v>3.2</c:v>
                </c:pt>
                <c:pt idx="3">
                  <c:v>3.2</c:v>
                </c:pt>
                <c:pt idx="4">
                  <c:v>3.3</c:v>
                </c:pt>
              </c:numCache>
            </c:numRef>
          </c:val>
          <c:smooth val="0"/>
          <c:extLst>
            <c:ext xmlns:c="http://schemas.openxmlformats.org/drawingml/2006/chart" xmlns:c16="http://schemas.microsoft.com/office/drawing/2014/chart" uri="{C3380CC4-5D6E-409C-BE32-E72D297353CC}">
              <c16:uniqueId val="{00000001-B538-4082-B464-187FF6F19124}"/>
            </c:ext>
          </c:extLst>
        </c:ser>
        <c:marker val="1"/>
        <c:axId val="31679275"/>
        <c:axId val="32793342"/>
      </c:lineChart>
      <c:catAx>
        <c:axId val="3319798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56690229"/>
        <c:crosses val="autoZero"/>
        <c:auto val="1"/>
        <c:lblOffset val="100"/>
        <c:noMultiLvlLbl val="0"/>
      </c:catAx>
      <c:valAx>
        <c:axId val="56690229"/>
        <c:scaling>
          <c:orientation val="minMax"/>
          <c:max val="200"/>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MEUR</a:t>
                </a:r>
              </a:p>
            </c:rich>
          </c:tx>
          <c:layout>
            <c:manualLayout>
              <c:xMode val="edge"/>
              <c:yMode val="edge"/>
              <c:x val="0"/>
              <c:y val="0.00275"/>
            </c:manualLayout>
          </c:layout>
          <c:overlay val="0"/>
          <c:spPr>
            <a:noFill/>
            <a:ln w="6350">
              <a:noFill/>
            </a:ln>
          </c:spPr>
        </c:title>
        <c:numFmt formatCode="General" sourceLinked="1"/>
        <c:majorTickMark val="none"/>
        <c:minorTickMark val="none"/>
        <c:tickLblPos val="nextTo"/>
        <c:spPr>
          <a:noFill/>
          <a:ln w="6350">
            <a:noFill/>
          </a:ln>
        </c:spPr>
        <c:crossAx val="33197986"/>
        <c:crosses val="autoZero"/>
        <c:crossBetween val="between"/>
        <c:majorUnit val="50"/>
      </c:valAx>
      <c:catAx>
        <c:axId val="31679275"/>
        <c:scaling>
          <c:orientation val="minMax"/>
        </c:scaling>
        <c:delete val="1"/>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32793342"/>
        <c:crosses val="autoZero"/>
        <c:auto val="1"/>
        <c:lblOffset val="100"/>
        <c:noMultiLvlLbl val="0"/>
      </c:catAx>
      <c:valAx>
        <c:axId val="32793342"/>
        <c:scaling>
          <c:orientation val="minMax"/>
          <c:max val="4"/>
          <c:min val="0"/>
        </c:scaling>
        <c:delete val="0"/>
        <c:axPos val="l"/>
        <c:title>
          <c:tx>
            <c:rich>
              <a:bodyPr rot="0" vertOverflow="clip" vert="horz"/>
              <a:lstStyle/>
              <a:p>
                <a:pPr algn="ctr">
                  <a:defRPr/>
                </a:pPr>
                <a:r>
                  <a:rPr lang="en-US" u="none" baseline="0">
                    <a:solidFill>
                      <a:schemeClr val="tx1"/>
                    </a:solidFill>
                    <a:latin typeface="Arial"/>
                    <a:ea typeface="Arial"/>
                    <a:cs typeface="Arial"/>
                  </a:rPr>
                  <a:t>%</a:t>
                </a:r>
              </a:p>
            </c:rich>
          </c:tx>
          <c:layout>
            <c:manualLayout>
              <c:xMode val="edge"/>
              <c:yMode val="edge"/>
              <c:x val="0.92975"/>
              <c:y val="0.01325"/>
            </c:manualLayout>
          </c:layout>
          <c:overlay val="0"/>
          <c:spPr>
            <a:noFill/>
            <a:ln w="6350">
              <a:noFill/>
            </a:ln>
          </c:spPr>
        </c:title>
        <c:numFmt formatCode="#,##0.0" sourceLinked="0"/>
        <c:majorTickMark val="out"/>
        <c:minorTickMark val="none"/>
        <c:tickLblPos val="nextTo"/>
        <c:spPr>
          <a:noFill/>
          <a:ln w="6350">
            <a:noFill/>
          </a:ln>
        </c:spPr>
        <c:crossAx val="31679275"/>
        <c:crosses val="max"/>
        <c:crossBetween val="between"/>
        <c:majorUnit val="1"/>
      </c:valAx>
      <c:spPr>
        <a:noFill/>
        <a:ln w="25400">
          <a:noFill/>
        </a:ln>
      </c:spPr>
    </c:plotArea>
    <c:legend>
      <c:legendPos val="b"/>
      <c:layout>
        <c:manualLayout>
          <c:xMode val="edge"/>
          <c:yMode val="edge"/>
          <c:x val="0.00075"/>
          <c:y val="0.88975"/>
          <c:w val="0.69425"/>
          <c:h val="0.1072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1"/>
          <c:y val="0.14"/>
          <c:w val="0.827"/>
          <c:h val="0.593"/>
        </c:manualLayout>
      </c:layout>
      <c:barChart>
        <c:barDir val="col"/>
        <c:grouping val="clustered"/>
        <c:varyColors val="0"/>
        <c:ser>
          <c:idx val="0"/>
          <c:order val="0"/>
          <c:tx>
            <c:strRef>
              <c:f>Henkilöstö!$E$5</c:f>
              <c:strCache>
                <c:ptCount val="1"/>
                <c:pt idx="0">
                  <c:v>Henkilöstö tilikauden lopussa</c:v>
                </c:pt>
              </c:strCache>
            </c:strRef>
          </c:tx>
          <c:spPr>
            <a:solidFill>
              <a:srgbClr val="0F334A"/>
            </a:solidFill>
            <a:ln w="6350">
              <a:solidFill>
                <a:srgbClr val="0F334A"/>
              </a:solidFill>
            </a:ln>
          </c:spPr>
          <c:invertIfNegative val="0"/>
          <c:dLbls>
            <c:numFmt formatCode="General" sourceLinked="1"/>
            <c:showLegendKey val="0"/>
            <c:showVal val="0"/>
            <c:showCatName val="0"/>
            <c:showSerName val="0"/>
            <c:showPercent val="0"/>
            <c:showBubbleSize val="0"/>
            <c:showLeaderLines val="0"/>
          </c:dLbls>
          <c:cat>
            <c:numRef>
              <c:f>Henkilöstö!$B$6:$B$10</c:f>
              <c:numCache>
                <c:formatCode>General</c:formatCode>
                <c:ptCount val="5"/>
                <c:pt idx="0">
                  <c:v>2016</c:v>
                </c:pt>
                <c:pt idx="1">
                  <c:v>2017</c:v>
                </c:pt>
                <c:pt idx="2">
                  <c:v>2018</c:v>
                </c:pt>
                <c:pt idx="3">
                  <c:v>2019</c:v>
                </c:pt>
                <c:pt idx="4">
                  <c:v>2020</c:v>
                </c:pt>
              </c:numCache>
            </c:numRef>
          </c:cat>
          <c:val>
            <c:numRef>
              <c:f>Henkilöstö!$E$6:$E$10</c:f>
              <c:numCache>
                <c:formatCode>#,##0</c:formatCode>
                <c:ptCount val="5"/>
                <c:pt idx="0">
                  <c:v>18011</c:v>
                </c:pt>
                <c:pt idx="1">
                  <c:v>18065</c:v>
                </c:pt>
                <c:pt idx="2">
                  <c:v>19294</c:v>
                </c:pt>
                <c:pt idx="3">
                  <c:v>18795</c:v>
                </c:pt>
                <c:pt idx="4">
                  <c:v>17792</c:v>
                </c:pt>
              </c:numCache>
            </c:numRef>
          </c:val>
          <c:extLst>
            <c:ext xmlns:c="http://schemas.openxmlformats.org/drawingml/2006/chart" xmlns:c16="http://schemas.microsoft.com/office/drawing/2014/chart" uri="{C3380CC4-5D6E-409C-BE32-E72D297353CC}">
              <c16:uniqueId val="{00000000-CB04-4FCD-92A7-7B32DA8313C3}"/>
            </c:ext>
          </c:extLst>
        </c:ser>
        <c:gapWidth val="500"/>
        <c:axId val="26435082"/>
        <c:axId val="38487872"/>
      </c:barChart>
      <c:lineChart>
        <c:grouping val="standard"/>
        <c:varyColors val="0"/>
        <c:ser>
          <c:idx val="1"/>
          <c:order val="1"/>
          <c:tx>
            <c:strRef>
              <c:f>Henkilöstö!$I$5</c:f>
              <c:strCache>
                <c:ptCount val="1"/>
                <c:pt idx="0">
                  <c:v>Henkilöstö keskimäärin</c:v>
                </c:pt>
              </c:strCache>
            </c:strRef>
          </c:tx>
          <c:spPr>
            <a:ln w="22225" cap="rnd">
              <a:solidFill>
                <a:schemeClr val="accent3"/>
              </a:solidFill>
              <a:round/>
            </a:ln>
          </c:spPr>
          <c:marker>
            <c:symbol val="none"/>
          </c:marker>
          <c:dLbls>
            <c:numFmt formatCode="General" sourceLinked="1"/>
            <c:showLegendKey val="0"/>
            <c:showVal val="0"/>
            <c:showCatName val="0"/>
            <c:showSerName val="0"/>
            <c:showPercent val="0"/>
            <c:showBubbleSize val="0"/>
            <c:showLeaderLines val="0"/>
          </c:dLbls>
          <c:cat>
            <c:numRef>
              <c:f>Henkilöstö!$B$6:$B$10</c:f>
              <c:numCache>
                <c:formatCode>General</c:formatCode>
                <c:ptCount val="5"/>
                <c:pt idx="0">
                  <c:v>2016</c:v>
                </c:pt>
                <c:pt idx="1">
                  <c:v>2017</c:v>
                </c:pt>
                <c:pt idx="2">
                  <c:v>2018</c:v>
                </c:pt>
                <c:pt idx="3">
                  <c:v>2019</c:v>
                </c:pt>
                <c:pt idx="4">
                  <c:v>2020</c:v>
                </c:pt>
              </c:numCache>
            </c:numRef>
          </c:cat>
          <c:val>
            <c:numRef>
              <c:f>Henkilöstö!$I$6:$I$10</c:f>
              <c:numCache>
                <c:formatCode>#,##0</c:formatCode>
                <c:ptCount val="5"/>
                <c:pt idx="0">
                  <c:v>18332</c:v>
                </c:pt>
                <c:pt idx="1">
                  <c:v>17866</c:v>
                </c:pt>
                <c:pt idx="2">
                  <c:v>18899</c:v>
                </c:pt>
                <c:pt idx="3">
                  <c:v>19110</c:v>
                </c:pt>
                <c:pt idx="4">
                  <c:v>18307</c:v>
                </c:pt>
              </c:numCache>
            </c:numRef>
          </c:val>
          <c:smooth val="0"/>
          <c:extLst>
            <c:ext xmlns:c="http://schemas.openxmlformats.org/drawingml/2006/chart" xmlns:c16="http://schemas.microsoft.com/office/drawing/2014/chart" uri="{C3380CC4-5D6E-409C-BE32-E72D297353CC}">
              <c16:uniqueId val="{00000001-CB04-4FCD-92A7-7B32DA8313C3}"/>
            </c:ext>
          </c:extLst>
        </c:ser>
        <c:ser>
          <c:idx val="2"/>
          <c:order val="2"/>
          <c:tx>
            <c:strRef>
              <c:f>Henkilöstö!$M$5</c:f>
              <c:strCache>
                <c:ptCount val="1"/>
                <c:pt idx="0">
                  <c:v>Henkilöstö Suomessa</c:v>
                </c:pt>
              </c:strCache>
            </c:strRef>
          </c:tx>
          <c:spPr>
            <a:ln w="22225" cap="rnd">
              <a:solidFill>
                <a:srgbClr val="FF7321"/>
              </a:solidFill>
              <a:round/>
            </a:ln>
          </c:spPr>
          <c:marker>
            <c:symbol val="none"/>
          </c:marker>
          <c:dLbls>
            <c:numFmt formatCode="General" sourceLinked="1"/>
            <c:showLegendKey val="0"/>
            <c:showVal val="0"/>
            <c:showCatName val="0"/>
            <c:showSerName val="0"/>
            <c:showPercent val="0"/>
            <c:showBubbleSize val="0"/>
            <c:showLeaderLines val="0"/>
          </c:dLbls>
          <c:cat>
            <c:numRef>
              <c:f>Henkilöstö!$B$6:$B$10</c:f>
              <c:numCache>
                <c:formatCode>General</c:formatCode>
                <c:ptCount val="5"/>
                <c:pt idx="0">
                  <c:v>2016</c:v>
                </c:pt>
                <c:pt idx="1">
                  <c:v>2017</c:v>
                </c:pt>
                <c:pt idx="2">
                  <c:v>2018</c:v>
                </c:pt>
                <c:pt idx="3">
                  <c:v>2019</c:v>
                </c:pt>
                <c:pt idx="4">
                  <c:v>2020</c:v>
                </c:pt>
              </c:numCache>
            </c:numRef>
          </c:cat>
          <c:val>
            <c:numRef>
              <c:f>Henkilöstö!$M$6:$M$10</c:f>
              <c:numCache>
                <c:formatCode>#,##0</c:formatCode>
                <c:ptCount val="5"/>
                <c:pt idx="0">
                  <c:v>3482</c:v>
                </c:pt>
                <c:pt idx="1">
                  <c:v>3521</c:v>
                </c:pt>
                <c:pt idx="2">
                  <c:v>3766</c:v>
                </c:pt>
                <c:pt idx="3">
                  <c:v>3868</c:v>
                </c:pt>
                <c:pt idx="4">
                  <c:v>3706</c:v>
                </c:pt>
              </c:numCache>
            </c:numRef>
          </c:val>
          <c:smooth val="0"/>
          <c:extLst>
            <c:ext xmlns:c="http://schemas.openxmlformats.org/drawingml/2006/chart" xmlns:c16="http://schemas.microsoft.com/office/drawing/2014/chart" uri="{C3380CC4-5D6E-409C-BE32-E72D297353CC}">
              <c16:uniqueId val="{00000003-CB04-4FCD-92A7-7B32DA8313C3}"/>
            </c:ext>
          </c:extLst>
        </c:ser>
        <c:marker val="1"/>
        <c:axId val="26435082"/>
        <c:axId val="38487872"/>
      </c:lineChart>
      <c:catAx>
        <c:axId val="26435082"/>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38487872"/>
        <c:crosses val="autoZero"/>
        <c:auto val="1"/>
        <c:lblOffset val="100"/>
        <c:noMultiLvlLbl val="0"/>
      </c:catAx>
      <c:valAx>
        <c:axId val="38487872"/>
        <c:scaling>
          <c:orientation val="minMax"/>
          <c:max val="20000"/>
        </c:scaling>
        <c:delete val="0"/>
        <c:axPos val="l"/>
        <c:majorGridlines>
          <c:spPr>
            <a:ln w="9525">
              <a:solidFill>
                <a:schemeClr val="tx1">
                  <a:lumMod val="15000"/>
                  <a:lumOff val="85000"/>
                </a:schemeClr>
              </a:solidFill>
              <a:round/>
            </a:ln>
          </c:spPr>
        </c:majorGridlines>
        <c:numFmt formatCode="#,##0" sourceLinked="0"/>
        <c:majorTickMark val="none"/>
        <c:minorTickMark val="none"/>
        <c:tickLblPos val="nextTo"/>
        <c:spPr>
          <a:noFill/>
          <a:ln w="6350">
            <a:noFill/>
          </a:ln>
        </c:spPr>
        <c:crossAx val="26435082"/>
        <c:crosses val="autoZero"/>
        <c:crossBetween val="between"/>
        <c:majorUnit val="5000"/>
      </c:valAx>
      <c:spPr>
        <a:noFill/>
        <a:ln w="25400">
          <a:noFill/>
        </a:ln>
      </c:spPr>
    </c:plotArea>
    <c:legend>
      <c:legendPos val="b"/>
      <c:layout>
        <c:manualLayout>
          <c:xMode val="edge"/>
          <c:yMode val="edge"/>
          <c:x val="0.097"/>
          <c:y val="0.84375"/>
          <c:w val="0.76925"/>
          <c:h val="0.153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
          <c:y val="0.14375"/>
          <c:w val="0.89"/>
          <c:h val="0.58825"/>
        </c:manualLayout>
      </c:layout>
      <c:barChart>
        <c:barDir val="col"/>
        <c:grouping val="stacked"/>
        <c:varyColors val="0"/>
        <c:ser>
          <c:idx val="0"/>
          <c:order val="0"/>
          <c:tx>
            <c:strRef>
              <c:f>Osinko!$E$5</c:f>
              <c:strCache>
                <c:ptCount val="1"/>
                <c:pt idx="0">
                  <c:v>Osinko per osake</c:v>
                </c:pt>
              </c:strCache>
            </c:strRef>
          </c:tx>
          <c:spPr>
            <a:solidFill>
              <a:srgbClr val="0F334A"/>
            </a:solidFill>
            <a:ln w="6350">
              <a:solidFill>
                <a:srgbClr val="0F334A"/>
              </a:solidFill>
            </a:ln>
          </c:spPr>
          <c:invertIfNegative val="0"/>
          <c:dLbls>
            <c:dLbl>
              <c:idx val="0"/>
              <c:layout>
                <c:manualLayout>
                  <c:x val="0"/>
                  <c:y val="-0.109"/>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1"/>
              <c:layout>
                <c:manualLayout>
                  <c:x val="0"/>
                  <c:y val="-0.1152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2"/>
              <c:layout>
                <c:manualLayout>
                  <c:x val="0"/>
                  <c:y val="-0.1217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3"/>
              <c:layout>
                <c:manualLayout>
                  <c:x val="0"/>
                  <c:y val="-0.1342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4"/>
              <c:layout>
                <c:manualLayout>
                  <c:x val="0"/>
                  <c:y val="-0.1407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5"/>
              <c:layout>
                <c:manualLayout>
                  <c:x val="0"/>
                  <c:y val="-0.147"/>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6"/>
              <c:layout>
                <c:manualLayout>
                  <c:x val="0"/>
                  <c:y val="-0.153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7"/>
              <c:layout>
                <c:manualLayout>
                  <c:x val="0"/>
                  <c:y val="-0.1597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8"/>
              <c:layout>
                <c:manualLayout>
                  <c:x val="0"/>
                  <c:y val="-0.1597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dLbl>
              <c:idx val="9"/>
              <c:layout>
                <c:manualLayout>
                  <c:x val="0"/>
                  <c:y val="-0.1215"/>
                </c:manualLayout>
              </c:layout>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extLst>
                <c:ext xmlns:c15="http://schemas.microsoft.com/office/drawing/2012/chart" uri="{CE6537A1-D6FC-4f65-9D91-7224C49458BB}">
                  <c15:showDataLabelsRange val="0"/>
                </c:ext>
              </c:extLst>
            </c:dLbl>
            <c:numFmt formatCode="General" sourceLinked="1"/>
            <c:spPr>
              <a:noFill/>
              <a:ln w="6350">
                <a:noFill/>
              </a:ln>
            </c:spPr>
            <c:txPr>
              <a:bodyPr rot="0" vert="horz">
                <a:spAutoFit/>
              </a:bodyPr>
              <a:lstStyle/>
              <a:p>
                <a:pPr algn="ctr">
                  <a:defRPr lang="en-US" sz="600" u="none" baseline="0">
                    <a:solidFill>
                      <a:schemeClr val="tx1"/>
                    </a:solidFill>
                    <a:latin typeface="Arial"/>
                    <a:ea typeface="Arial"/>
                    <a:cs typeface="Arial"/>
                  </a:defRPr>
                </a:pPr>
              </a:p>
            </c:txPr>
            <c:showLegendKey val="0"/>
            <c:showVal val="1"/>
            <c:showCatName val="0"/>
            <c:showSerName val="0"/>
            <c:showPercent val="0"/>
            <c:showBubbleSize val="0"/>
            <c:showLeaderLines val="0"/>
            <c:extLst>
              <c:ext xmlns:c15="http://schemas.microsoft.com/office/drawing/2012/chart" uri="{CE6537A1-D6FC-4f65-9D91-7224C49458BB}"/>
            </c:extLst>
          </c:dLbls>
          <c:cat>
            <c:numRef>
              <c:f>Osinko!$B$6:$B$15</c:f>
              <c:numCache>
                <c:formatCode>General</c:formatCode>
                <c:ptCount val="10"/>
                <c:pt idx="0">
                  <c:v>11</c:v>
                </c:pt>
                <c:pt idx="1">
                  <c:v>12</c:v>
                </c:pt>
                <c:pt idx="2">
                  <c:v>13</c:v>
                </c:pt>
                <c:pt idx="3">
                  <c:v>14</c:v>
                </c:pt>
                <c:pt idx="4">
                  <c:v>15</c:v>
                </c:pt>
                <c:pt idx="5">
                  <c:v>16</c:v>
                </c:pt>
                <c:pt idx="6">
                  <c:v>17</c:v>
                </c:pt>
                <c:pt idx="7">
                  <c:v>18</c:v>
                </c:pt>
                <c:pt idx="8">
                  <c:v>19</c:v>
                </c:pt>
                <c:pt idx="9">
                  <c:v>20</c:v>
                </c:pt>
              </c:numCache>
            </c:numRef>
          </c:cat>
          <c:val>
            <c:numRef>
              <c:f>Osinko!$E$6:$E$15</c:f>
              <c:numCache>
                <c:formatCode>0.00</c:formatCode>
                <c:ptCount val="10"/>
                <c:pt idx="0">
                  <c:v>0.3</c:v>
                </c:pt>
                <c:pt idx="1">
                  <c:v>0.33</c:v>
                </c:pt>
                <c:pt idx="2">
                  <c:v>0.35</c:v>
                </c:pt>
                <c:pt idx="3">
                  <c:v>0.38</c:v>
                </c:pt>
                <c:pt idx="4">
                  <c:v>0.4</c:v>
                </c:pt>
                <c:pt idx="5">
                  <c:v>0.43</c:v>
                </c:pt>
                <c:pt idx="6">
                  <c:v>0.46</c:v>
                </c:pt>
                <c:pt idx="7">
                  <c:v>0.48</c:v>
                </c:pt>
                <c:pt idx="8">
                  <c:v>0.48</c:v>
                </c:pt>
                <c:pt idx="9">
                  <c:v>0.2</c:v>
                </c:pt>
              </c:numCache>
            </c:numRef>
          </c:val>
          <c:extLst>
            <c:ext xmlns:c="http://schemas.openxmlformats.org/drawingml/2006/chart" xmlns:c16="http://schemas.microsoft.com/office/drawing/2014/chart" uri="{C3380CC4-5D6E-409C-BE32-E72D297353CC}">
              <c16:uniqueId val="{00000000-7DDB-4AD4-BAC0-CD5EA958AE80}"/>
            </c:ext>
          </c:extLst>
        </c:ser>
        <c:gapWidth val="200"/>
        <c:overlap val="100"/>
        <c:axId val="2941626"/>
        <c:axId val="61979896"/>
        <c:extLst>
          <c:ext xmlns:c="http://schemas.openxmlformats.org/drawingml/2006/chart" xmlns:c15="http://schemas.microsoft.com/office/drawing/2012/chart" uri="{02D57815-91ED-43cb-92C2-25804820EDAC}">
            <c15:filteredBarSeries>
              <c15:ser>
                <c:idx val="1"/>
                <c:order val="1"/>
                <c:tx>
                  <c:strRef>
                    <c:extLst>
                      <c:ext uri="{02D57815-91ED-43cb-92C2-25804820EDAC}">
                        <c15:formulaRef>
                          <c15:sqref>Osinko!$G$5</c15:sqref>
                        </c15:formulaRef>
                      </c:ext>
                    </c:extLst>
                    <c:strCache>
                      <c:ptCount val="1"/>
                      <c:pt idx="0">
                        <c:v>Ylimääräinen osinko per osake</c:v>
                      </c:pt>
                    </c:strCache>
                  </c:strRef>
                </c:tx>
                <c:spPr>
                  <a:solidFill xmlns:a="http://schemas.openxmlformats.org/drawingml/2006/main">
                    <a:srgbClr val="CCCCCC"/>
                  </a:solidFill>
                  <a:ln xmlns:a="http://schemas.openxmlformats.org/drawingml/2006/main" cap="flat" cmpd="sng" w="0">
                    <a:solidFill>
                      <a:srgbClr val="CCCCCC"/>
                    </a:solidFill>
                  </a:ln>
                </c:spPr>
                <c:invertIfNegative val="0"/>
                <c:cat>
                  <c:numRef>
                    <c:extLst>
                      <c:ext uri="{02D57815-91ED-43cb-92C2-25804820EDAC}">
                        <c15:formulaRef>
                          <c15:sqref>Osinko!$B$6:$B$15</c15:sqref>
                        </c15:formulaRef>
                      </c:ext>
                    </c:extLst>
                    <c:numCache>
                      <c:formatCode>General</c:formatCode>
                      <c:ptCount val="10"/>
                      <c:pt idx="0">
                        <c:v>11</c:v>
                      </c:pt>
                      <c:pt idx="1">
                        <c:v>12</c:v>
                      </c:pt>
                      <c:pt idx="2">
                        <c:v>13</c:v>
                      </c:pt>
                      <c:pt idx="3">
                        <c:v>14</c:v>
                      </c:pt>
                      <c:pt idx="4">
                        <c:v>15</c:v>
                      </c:pt>
                      <c:pt idx="5">
                        <c:v>16</c:v>
                      </c:pt>
                      <c:pt idx="6">
                        <c:v>17</c:v>
                      </c:pt>
                      <c:pt idx="7">
                        <c:v>18</c:v>
                      </c:pt>
                      <c:pt idx="8">
                        <c:v>19</c:v>
                      </c:pt>
                      <c:pt idx="9">
                        <c:v>20</c:v>
                      </c:pt>
                    </c:numCache>
                  </c:numRef>
                </c:cat>
                <c:val>
                  <c:numRef>
                    <c:extLst>
                      <c:ext uri="{02D57815-91ED-43cb-92C2-25804820EDAC}">
                        <c15:formulaRef>
                          <c15:sqref>Osinko!$G$6:$G$15</c15:sqref>
                        </c15:formulaRef>
                      </c:ext>
                    </c:extLst>
                    <c:numCache>
                      <c:formatCode>General</c:formatCode>
                      <c:ptCount val="10"/>
                    </c:numCache>
                  </c:numRef>
                </c:val>
                <c:extLst>
                  <c:ext xmlns:c16="http://schemas.microsoft.com/office/drawing/2014/chart" uri="{C3380CC4-5D6E-409C-BE32-E72D297353CC}">
                    <c16:uniqueId val="{00000001-7DDB-4AD4-BAC0-CD5EA958AE80}"/>
                  </c:ext>
                </c:extLst>
              </c15:ser>
            </c15:filteredBarSeries>
          </c:ext>
        </c:extLst>
      </c:barChart>
      <c:lineChart>
        <c:grouping val="standard"/>
        <c:varyColors val="0"/>
        <c:ser>
          <c:idx val="2"/>
          <c:order val="1"/>
          <c:tx>
            <c:strRef>
              <c:f>Osinko!$J$5</c:f>
              <c:strCache>
                <c:ptCount val="1"/>
                <c:pt idx="0">
                  <c:v>Osakekohtainen tulos</c:v>
                </c:pt>
              </c:strCache>
            </c:strRef>
          </c:tx>
          <c:spPr>
            <a:ln w="22225" cap="rnd">
              <a:solidFill>
                <a:srgbClr val="FF7321"/>
              </a:solidFill>
              <a:round/>
            </a:ln>
          </c:spPr>
          <c:marker>
            <c:symbol val="none"/>
          </c:marker>
          <c:dLbls>
            <c:numFmt formatCode="General" sourceLinked="1"/>
            <c:showLegendKey val="0"/>
            <c:showVal val="0"/>
            <c:showCatName val="0"/>
            <c:showSerName val="0"/>
            <c:showPercent val="0"/>
            <c:showBubbleSize val="0"/>
            <c:showLeaderLines val="0"/>
          </c:dLbls>
          <c:cat>
            <c:numRef>
              <c:f>Osinko!$B$6:$B$15</c:f>
              <c:numCache>
                <c:formatCode>General</c:formatCode>
                <c:ptCount val="10"/>
                <c:pt idx="0">
                  <c:v>11</c:v>
                </c:pt>
                <c:pt idx="1">
                  <c:v>12</c:v>
                </c:pt>
                <c:pt idx="2">
                  <c:v>13</c:v>
                </c:pt>
                <c:pt idx="3">
                  <c:v>14</c:v>
                </c:pt>
                <c:pt idx="4">
                  <c:v>15</c:v>
                </c:pt>
                <c:pt idx="5">
                  <c:v>16</c:v>
                </c:pt>
                <c:pt idx="6">
                  <c:v>17</c:v>
                </c:pt>
                <c:pt idx="7">
                  <c:v>18</c:v>
                </c:pt>
                <c:pt idx="8">
                  <c:v>19</c:v>
                </c:pt>
                <c:pt idx="9">
                  <c:v>20</c:v>
                </c:pt>
              </c:numCache>
            </c:numRef>
          </c:cat>
          <c:val>
            <c:numRef>
              <c:f>Osinko!$J$6:$J$15</c:f>
              <c:numCache>
                <c:formatCode>General</c:formatCode>
                <c:ptCount val="10"/>
                <c:pt idx="0">
                  <c:v>0.48</c:v>
                </c:pt>
                <c:pt idx="1">
                  <c:v>0.57</c:v>
                </c:pt>
                <c:pt idx="2">
                  <c:v>0.66</c:v>
                </c:pt>
                <c:pt idx="3">
                  <c:v>0.59</c:v>
                </c:pt>
                <c:pt idx="4">
                  <c:v>0.75</c:v>
                </c:pt>
                <c:pt idx="5">
                  <c:v>0.6</c:v>
                </c:pt>
                <c:pt idx="6">
                  <c:v>0.63</c:v>
                </c:pt>
                <c:pt idx="7">
                  <c:v>0.65</c:v>
                </c:pt>
                <c:pt idx="8">
                  <c:v>0.37</c:v>
                </c:pt>
                <c:pt idx="9">
                  <c:v>0.23</c:v>
                </c:pt>
              </c:numCache>
            </c:numRef>
          </c:val>
          <c:smooth val="0"/>
          <c:extLst>
            <c:ext xmlns:c="http://schemas.openxmlformats.org/drawingml/2006/chart" xmlns:c16="http://schemas.microsoft.com/office/drawing/2014/chart" uri="{C3380CC4-5D6E-409C-BE32-E72D297353CC}">
              <c16:uniqueId val="{00000002-7DDB-4AD4-BAC0-CD5EA958AE80}"/>
            </c:ext>
          </c:extLst>
        </c:ser>
        <c:marker val="1"/>
        <c:axId val="2941626"/>
        <c:axId val="61979896"/>
      </c:lineChart>
      <c:catAx>
        <c:axId val="2941626"/>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c:spPr>
        <c:txPr>
          <a:bodyPr/>
          <a:lstStyle/>
          <a:p>
            <a:pPr>
              <a:defRPr lang="en-US" sz="700" b="1" u="none" baseline="0">
                <a:solidFill>
                  <a:schemeClr val="tx1"/>
                </a:solidFill>
                <a:latin typeface="Arial"/>
                <a:ea typeface="Arial"/>
                <a:cs typeface="Arial"/>
              </a:defRPr>
            </a:pPr>
          </a:p>
        </c:txPr>
        <c:crossAx val="61979896"/>
        <c:crosses val="autoZero"/>
        <c:auto val="1"/>
        <c:lblOffset val="100"/>
        <c:noMultiLvlLbl val="0"/>
      </c:catAx>
      <c:valAx>
        <c:axId val="61979896"/>
        <c:scaling>
          <c:orientation val="minMax"/>
          <c:max val="1"/>
        </c:scaling>
        <c:delete val="0"/>
        <c:axPos val="l"/>
        <c:majorGridlines>
          <c:spPr>
            <a:ln w="9525">
              <a:solidFill>
                <a:schemeClr val="tx1">
                  <a:lumMod val="15000"/>
                  <a:lumOff val="85000"/>
                </a:schemeClr>
              </a:solidFill>
              <a:round/>
            </a:ln>
          </c:spPr>
        </c:majorGridlines>
        <c:title>
          <c:tx>
            <c:rich>
              <a:bodyPr rot="0" vertOverflow="clip" vert="horz"/>
              <a:lstStyle/>
              <a:p>
                <a:pPr algn="ctr">
                  <a:defRPr/>
                </a:pPr>
                <a:r>
                  <a:rPr lang="en-US" u="none" baseline="0">
                    <a:solidFill>
                      <a:schemeClr val="tx1"/>
                    </a:solidFill>
                    <a:latin typeface="Arial"/>
                    <a:ea typeface="Arial"/>
                    <a:cs typeface="Arial"/>
                  </a:rPr>
                  <a:t>EUR</a:t>
                </a:r>
              </a:p>
            </c:rich>
          </c:tx>
          <c:layout>
            <c:manualLayout>
              <c:xMode val="edge"/>
              <c:yMode val="edge"/>
              <c:x val="0"/>
              <c:y val="0.00275"/>
            </c:manualLayout>
          </c:layout>
          <c:overlay val="0"/>
          <c:spPr>
            <a:noFill/>
            <a:ln w="6350">
              <a:noFill/>
            </a:ln>
          </c:spPr>
        </c:title>
        <c:numFmt formatCode="General" sourceLinked="1"/>
        <c:majorTickMark val="none"/>
        <c:minorTickMark val="none"/>
        <c:tickLblPos val="nextTo"/>
        <c:spPr>
          <a:noFill/>
          <a:ln w="6350">
            <a:noFill/>
          </a:ln>
        </c:spPr>
        <c:crossAx val="2941626"/>
        <c:crosses val="autoZero"/>
        <c:crossBetween val="between"/>
        <c:majorUnit val="0.25"/>
      </c:valAx>
      <c:spPr>
        <a:noFill/>
        <a:ln w="6350">
          <a:noFill/>
        </a:ln>
      </c:spPr>
    </c:plotArea>
    <c:legend>
      <c:legendPos val="b"/>
      <c:layout>
        <c:manualLayout>
          <c:xMode val="edge"/>
          <c:yMode val="edge"/>
          <c:x val="0.02775"/>
          <c:y val="0.86025"/>
          <c:w val="0.51625"/>
          <c:h val="0.1395"/>
        </c:manualLayout>
      </c:layout>
      <c:overlay val="0"/>
      <c:spPr>
        <a:noFill/>
        <a:ln w="6350">
          <a:noFill/>
        </a:ln>
      </c:spPr>
    </c:legend>
    <c:plotVisOnly val="1"/>
    <c:dispBlanksAs val="gap"/>
    <c:showDLblsOverMax val="0"/>
  </c:chart>
  <c:spPr>
    <a:solidFill>
      <a:schemeClr val="bg1"/>
    </a:solidFill>
    <a:ln w="9525">
      <a:solidFill>
        <a:schemeClr val="bg1"/>
      </a:solidFill>
      <a:round/>
    </a:ln>
  </c:spPr>
  <c:txPr>
    <a:bodyPr rot="0" vert="horz"/>
    <a:lstStyle/>
    <a:p>
      <a:pPr>
        <a:defRPr lang="en-US" sz="700" u="none" baseline="0">
          <a:solidFill>
            <a:schemeClr val="tx1"/>
          </a:solidFill>
          <a:latin typeface="Arial"/>
          <a:ea typeface="Arial"/>
          <a:cs typeface="Arial"/>
        </a:defRPr>
      </a:pPr>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5F3D5-282F-4626-A6FA-A70A67A25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90</Pages>
  <Words>32194</Words>
  <Characters>254594</Characters>
  <Application>Microsoft Office Word</Application>
  <DocSecurity>0</DocSecurity>
  <Lines>12</Lines>
  <Paragraphs>7561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Valtasaari, Natalia</cp:lastModifiedBy>
  <cp:revision>98</cp:revision>
  <cp:lastPrinted>2020-10-21T07:41:00Z</cp:lastPrinted>
  <dcterms:created xsi:type="dcterms:W3CDTF">2018-10-29T15:56:00Z</dcterms:created>
  <dcterms:modified xsi:type="dcterms:W3CDTF">2021-01-27T11:42:00Z</dcterms:modified>
</cp:coreProperties>
</file>